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02E82A" w14:textId="4A0BCF06" w:rsidR="004368CF" w:rsidRPr="00F4403C" w:rsidRDefault="004368CF" w:rsidP="004368CF">
      <w:pPr>
        <w:pStyle w:val="Header"/>
        <w:tabs>
          <w:tab w:val="clear" w:pos="4536"/>
        </w:tabs>
        <w:rPr>
          <w:i/>
          <w:lang w:val="de-DE"/>
        </w:rPr>
      </w:pPr>
      <w:r w:rsidRPr="00697FBD">
        <w:rPr>
          <w:lang w:val="de-DE"/>
        </w:rPr>
        <w:t>3GPP TSG RAN WG1 Meeting #8</w:t>
      </w:r>
      <w:r>
        <w:rPr>
          <w:lang w:val="de-DE"/>
        </w:rPr>
        <w:t>6</w:t>
      </w:r>
      <w:r w:rsidRPr="00697FBD">
        <w:rPr>
          <w:lang w:val="de-DE"/>
        </w:rPr>
        <w:tab/>
      </w:r>
      <w:r w:rsidRPr="00F4403C">
        <w:rPr>
          <w:lang w:val="de-DE"/>
        </w:rPr>
        <w:t>R1-1</w:t>
      </w:r>
      <w:r w:rsidR="00252704">
        <w:rPr>
          <w:lang w:val="de-DE"/>
        </w:rPr>
        <w:t>66929</w:t>
      </w:r>
    </w:p>
    <w:p w14:paraId="58914DED" w14:textId="77777777" w:rsidR="004368CF" w:rsidRPr="000833FA" w:rsidRDefault="004368CF" w:rsidP="004368CF">
      <w:pPr>
        <w:pStyle w:val="Header"/>
        <w:rPr>
          <w:color w:val="000000"/>
        </w:rPr>
      </w:pPr>
      <w:r w:rsidRPr="000E3961">
        <w:t>Gothenburg</w:t>
      </w:r>
      <w:r w:rsidRPr="00697FBD">
        <w:t xml:space="preserve">, </w:t>
      </w:r>
      <w:r>
        <w:t>Sweden,</w:t>
      </w:r>
      <w:r w:rsidRPr="00697FBD">
        <w:t xml:space="preserve"> </w:t>
      </w:r>
      <w:r>
        <w:t>22-26 August</w:t>
      </w:r>
      <w:r w:rsidRPr="00697FBD">
        <w:t xml:space="preserve"> 2016</w:t>
      </w:r>
    </w:p>
    <w:p w14:paraId="59675F8D" w14:textId="77777777" w:rsidR="004368CF" w:rsidRPr="000833FA" w:rsidRDefault="004368CF" w:rsidP="004368CF">
      <w:pPr>
        <w:pStyle w:val="Header"/>
      </w:pPr>
    </w:p>
    <w:p w14:paraId="6DC997FC" w14:textId="77777777" w:rsidR="004368CF" w:rsidRPr="0003368D" w:rsidRDefault="004368CF" w:rsidP="004368CF">
      <w:pPr>
        <w:pStyle w:val="Header"/>
        <w:tabs>
          <w:tab w:val="clear" w:pos="4536"/>
          <w:tab w:val="left" w:pos="1800"/>
        </w:tabs>
        <w:ind w:left="1800" w:hanging="1800"/>
      </w:pPr>
      <w:r w:rsidRPr="0003368D">
        <w:t>Source:</w:t>
      </w:r>
      <w:r w:rsidRPr="0003368D">
        <w:tab/>
        <w:t>Ericsson</w:t>
      </w:r>
    </w:p>
    <w:p w14:paraId="69D890BC" w14:textId="77777777" w:rsidR="004368CF" w:rsidRPr="00F64D4A" w:rsidRDefault="004368CF" w:rsidP="004368CF">
      <w:pPr>
        <w:pStyle w:val="Header"/>
        <w:tabs>
          <w:tab w:val="clear" w:pos="4536"/>
          <w:tab w:val="left" w:pos="1800"/>
        </w:tabs>
      </w:pPr>
      <w:r w:rsidRPr="0003368D">
        <w:t>Title:</w:t>
      </w:r>
      <w:bookmarkStart w:id="0" w:name="Title"/>
      <w:bookmarkEnd w:id="0"/>
      <w:r w:rsidRPr="0003368D">
        <w:tab/>
      </w:r>
      <w:r>
        <w:rPr>
          <w:lang w:eastAsia="x-none"/>
        </w:rPr>
        <w:t>LDPC Code D</w:t>
      </w:r>
      <w:r w:rsidRPr="00D95D95">
        <w:rPr>
          <w:lang w:eastAsia="x-none"/>
        </w:rPr>
        <w:t xml:space="preserve">esign for </w:t>
      </w:r>
      <w:r>
        <w:rPr>
          <w:lang w:eastAsia="x-none"/>
        </w:rPr>
        <w:t>NR</w:t>
      </w:r>
    </w:p>
    <w:p w14:paraId="3435759B" w14:textId="77777777" w:rsidR="004368CF" w:rsidRPr="0003368D" w:rsidRDefault="004368CF" w:rsidP="004368CF">
      <w:pPr>
        <w:pStyle w:val="Header"/>
        <w:tabs>
          <w:tab w:val="left" w:pos="1800"/>
        </w:tabs>
      </w:pPr>
      <w:r w:rsidRPr="0003368D">
        <w:t>Agenda Item:</w:t>
      </w:r>
      <w:bookmarkStart w:id="1" w:name="Source"/>
      <w:bookmarkEnd w:id="1"/>
      <w:r w:rsidRPr="0003368D">
        <w:tab/>
      </w:r>
      <w:r>
        <w:t>8.1.4.1</w:t>
      </w:r>
    </w:p>
    <w:p w14:paraId="01ED9813" w14:textId="77777777" w:rsidR="004368CF" w:rsidRPr="0003368D" w:rsidRDefault="004368CF" w:rsidP="004368CF">
      <w:pPr>
        <w:pStyle w:val="Header"/>
        <w:tabs>
          <w:tab w:val="left" w:pos="1800"/>
        </w:tabs>
      </w:pPr>
      <w:r w:rsidRPr="0003368D">
        <w:t>Document for:</w:t>
      </w:r>
      <w:r w:rsidRPr="0003368D">
        <w:tab/>
      </w:r>
      <w:bookmarkStart w:id="2" w:name="DocumentFor"/>
      <w:bookmarkEnd w:id="2"/>
      <w:r w:rsidRPr="0003368D">
        <w:t xml:space="preserve">Discussion </w:t>
      </w:r>
      <w:r>
        <w:t>and Decision</w:t>
      </w:r>
    </w:p>
    <w:p w14:paraId="12EFBF70" w14:textId="77777777" w:rsidR="004368CF" w:rsidRPr="002100D2" w:rsidRDefault="004368CF" w:rsidP="004368CF">
      <w:pPr>
        <w:pBdr>
          <w:bottom w:val="single" w:sz="4" w:space="1" w:color="auto"/>
        </w:pBdr>
        <w:tabs>
          <w:tab w:val="left" w:pos="2552"/>
        </w:tabs>
      </w:pPr>
    </w:p>
    <w:p w14:paraId="128FD773" w14:textId="77777777" w:rsidR="004368CF" w:rsidRDefault="004368CF" w:rsidP="004368CF">
      <w:pPr>
        <w:pStyle w:val="Heading1"/>
      </w:pPr>
      <w:r>
        <w:t>Introduction</w:t>
      </w:r>
    </w:p>
    <w:p w14:paraId="33492441" w14:textId="77777777" w:rsidR="004368CF" w:rsidRDefault="004368CF" w:rsidP="004368CF">
      <w:pPr>
        <w:pStyle w:val="BodyText"/>
      </w:pPr>
      <w:r>
        <w:t>In RAN#85, the following agreement was made with regard to quasi-cyclic LDPC codes.</w:t>
      </w:r>
    </w:p>
    <w:p w14:paraId="1800A469" w14:textId="77777777" w:rsidR="004368CF" w:rsidRDefault="004368CF" w:rsidP="004368CF">
      <w:pPr>
        <w:pStyle w:val="BodyText"/>
      </w:pPr>
    </w:p>
    <w:tbl>
      <w:tblPr>
        <w:tblStyle w:val="TableGrid"/>
        <w:tblW w:w="0" w:type="auto"/>
        <w:tblLook w:val="04A0" w:firstRow="1" w:lastRow="0" w:firstColumn="1" w:lastColumn="0" w:noHBand="0" w:noVBand="1"/>
      </w:tblPr>
      <w:tblGrid>
        <w:gridCol w:w="9288"/>
      </w:tblGrid>
      <w:tr w:rsidR="004368CF" w14:paraId="76BDB7C2" w14:textId="77777777" w:rsidTr="008B484B">
        <w:tc>
          <w:tcPr>
            <w:tcW w:w="9288" w:type="dxa"/>
          </w:tcPr>
          <w:p w14:paraId="6BB01EF7" w14:textId="77777777" w:rsidR="004368CF" w:rsidRPr="0035082C" w:rsidRDefault="004368CF" w:rsidP="008B484B">
            <w:pPr>
              <w:rPr>
                <w:rFonts w:eastAsia="MS Mincho"/>
                <w:b/>
                <w:highlight w:val="green"/>
                <w:u w:val="single"/>
                <w:lang w:eastAsia="ja-JP"/>
              </w:rPr>
            </w:pPr>
            <w:r w:rsidRPr="0035082C">
              <w:rPr>
                <w:rFonts w:eastAsia="MS Mincho"/>
                <w:b/>
                <w:highlight w:val="green"/>
                <w:u w:val="single"/>
                <w:lang w:eastAsia="ja-JP"/>
              </w:rPr>
              <w:t>Agreement:</w:t>
            </w:r>
          </w:p>
          <w:p w14:paraId="5EA0ED3A" w14:textId="77777777" w:rsidR="004368CF" w:rsidRPr="00331477" w:rsidRDefault="004368CF" w:rsidP="004368CF">
            <w:pPr>
              <w:numPr>
                <w:ilvl w:val="0"/>
                <w:numId w:val="5"/>
              </w:numPr>
              <w:rPr>
                <w:rFonts w:eastAsia="MS Mincho"/>
                <w:lang w:eastAsia="ja-JP"/>
              </w:rPr>
            </w:pPr>
            <w:r>
              <w:rPr>
                <w:rFonts w:eastAsia="MS Mincho"/>
                <w:lang w:eastAsia="ja-JP"/>
              </w:rPr>
              <w:t>For the purpose of study and comparisons, qu</w:t>
            </w:r>
            <w:r w:rsidRPr="00331477">
              <w:rPr>
                <w:rFonts w:eastAsia="MS Mincho"/>
                <w:lang w:eastAsia="ja-JP"/>
              </w:rPr>
              <w:t xml:space="preserve">asi-cyclic like LDPC codes  </w:t>
            </w:r>
            <w:r>
              <w:rPr>
                <w:rFonts w:eastAsia="MS Mincho"/>
                <w:lang w:eastAsia="ja-JP"/>
              </w:rPr>
              <w:t>are</w:t>
            </w:r>
            <w:r w:rsidRPr="00331477">
              <w:rPr>
                <w:rFonts w:eastAsia="MS Mincho"/>
                <w:lang w:eastAsia="ja-JP"/>
              </w:rPr>
              <w:t xml:space="preserve"> defined as</w:t>
            </w:r>
            <w:r>
              <w:rPr>
                <w:rFonts w:eastAsia="MS Mincho"/>
                <w:lang w:eastAsia="ja-JP"/>
              </w:rPr>
              <w:t xml:space="preserve"> follows</w:t>
            </w:r>
            <w:r w:rsidRPr="00331477">
              <w:rPr>
                <w:rFonts w:eastAsia="MS Mincho"/>
                <w:lang w:eastAsia="ja-JP"/>
              </w:rPr>
              <w:t xml:space="preserve">: </w:t>
            </w:r>
          </w:p>
          <w:p w14:paraId="5EB9C1E1" w14:textId="77777777" w:rsidR="004368CF" w:rsidRPr="00331477" w:rsidRDefault="004368CF" w:rsidP="004368CF">
            <w:pPr>
              <w:numPr>
                <w:ilvl w:val="1"/>
                <w:numId w:val="5"/>
              </w:numPr>
              <w:rPr>
                <w:rFonts w:eastAsia="MS Mincho"/>
                <w:lang w:eastAsia="ja-JP"/>
              </w:rPr>
            </w:pPr>
            <w:r>
              <w:rPr>
                <w:rFonts w:eastAsia="MS Mincho"/>
                <w:lang w:eastAsia="ja-JP"/>
              </w:rPr>
              <w:t>T</w:t>
            </w:r>
            <w:r w:rsidRPr="00331477">
              <w:rPr>
                <w:rFonts w:eastAsia="MS Mincho"/>
                <w:lang w:eastAsia="ja-JP"/>
              </w:rPr>
              <w:t xml:space="preserve">he Parity check matrix of Quasi-cyclic like LDPC Codes is defined </w:t>
            </w:r>
            <w:r>
              <w:rPr>
                <w:rFonts w:eastAsia="MS Mincho"/>
                <w:lang w:eastAsia="ja-JP"/>
              </w:rPr>
              <w:t xml:space="preserve">at least </w:t>
            </w:r>
            <w:r w:rsidRPr="00331477">
              <w:rPr>
                <w:rFonts w:eastAsia="MS Mincho"/>
                <w:lang w:eastAsia="ja-JP"/>
              </w:rPr>
              <w:t>by a matrix H of size (</w:t>
            </w:r>
            <w:proofErr w:type="spellStart"/>
            <w:r w:rsidRPr="00331477">
              <w:rPr>
                <w:rFonts w:eastAsia="MS Mincho"/>
                <w:lang w:eastAsia="ja-JP"/>
              </w:rPr>
              <w:t>mb</w:t>
            </w:r>
            <w:proofErr w:type="spellEnd"/>
            <w:r w:rsidRPr="00331477">
              <w:rPr>
                <w:rFonts w:eastAsia="MS Mincho" w:hint="eastAsia"/>
                <w:lang w:eastAsia="ja-JP"/>
              </w:rPr>
              <w:t>×</w:t>
            </w:r>
            <w:r w:rsidRPr="00331477">
              <w:rPr>
                <w:rFonts w:eastAsia="MS Mincho"/>
                <w:lang w:eastAsia="ja-JP"/>
              </w:rPr>
              <w:t>z)</w:t>
            </w:r>
            <w:r w:rsidRPr="00331477">
              <w:rPr>
                <w:rFonts w:eastAsia="MS Mincho" w:hint="eastAsia"/>
                <w:lang w:eastAsia="ja-JP"/>
              </w:rPr>
              <w:t>×</w:t>
            </w:r>
            <w:r w:rsidRPr="00331477">
              <w:rPr>
                <w:rFonts w:eastAsia="MS Mincho"/>
                <w:lang w:eastAsia="ja-JP"/>
              </w:rPr>
              <w:t>(</w:t>
            </w:r>
            <w:proofErr w:type="spellStart"/>
            <w:r w:rsidRPr="00331477">
              <w:rPr>
                <w:rFonts w:eastAsia="MS Mincho"/>
                <w:lang w:eastAsia="ja-JP"/>
              </w:rPr>
              <w:t>nb</w:t>
            </w:r>
            <w:proofErr w:type="spellEnd"/>
            <w:r w:rsidRPr="00331477">
              <w:rPr>
                <w:rFonts w:eastAsia="MS Mincho" w:hint="eastAsia"/>
                <w:lang w:eastAsia="ja-JP"/>
              </w:rPr>
              <w:t>×</w:t>
            </w:r>
            <w:r w:rsidRPr="00331477">
              <w:rPr>
                <w:rFonts w:eastAsia="MS Mincho"/>
                <w:lang w:eastAsia="ja-JP"/>
              </w:rPr>
              <w:t>z), which consists of sub-block matrices of size z</w:t>
            </w:r>
            <w:r w:rsidRPr="00331477">
              <w:rPr>
                <w:rFonts w:eastAsia="MS Mincho" w:hint="eastAsia"/>
                <w:lang w:eastAsia="ja-JP"/>
              </w:rPr>
              <w:t>×</w:t>
            </w:r>
            <w:r w:rsidRPr="00331477">
              <w:rPr>
                <w:rFonts w:eastAsia="MS Mincho"/>
                <w:lang w:eastAsia="ja-JP"/>
              </w:rPr>
              <w:t xml:space="preserve">z,  where each sub-block matrix is composed by circularly shifted matrices or zero matrices. Wherein, </w:t>
            </w:r>
            <w:proofErr w:type="spellStart"/>
            <w:r w:rsidRPr="00331477">
              <w:rPr>
                <w:rFonts w:eastAsia="MS Mincho"/>
                <w:lang w:eastAsia="ja-JP"/>
              </w:rPr>
              <w:t>mb</w:t>
            </w:r>
            <w:proofErr w:type="spellEnd"/>
            <w:r w:rsidRPr="00331477">
              <w:rPr>
                <w:rFonts w:eastAsia="MS Mincho"/>
                <w:lang w:eastAsia="ja-JP"/>
              </w:rPr>
              <w:t xml:space="preserve">, </w:t>
            </w:r>
            <w:proofErr w:type="spellStart"/>
            <w:r w:rsidRPr="00331477">
              <w:rPr>
                <w:rFonts w:eastAsia="MS Mincho"/>
                <w:lang w:eastAsia="ja-JP"/>
              </w:rPr>
              <w:t>nb</w:t>
            </w:r>
            <w:proofErr w:type="spellEnd"/>
            <w:r w:rsidRPr="00331477">
              <w:rPr>
                <w:rFonts w:eastAsia="MS Mincho"/>
                <w:lang w:eastAsia="ja-JP"/>
              </w:rPr>
              <w:t xml:space="preserve"> and z are integers larger than 1.</w:t>
            </w:r>
          </w:p>
          <w:p w14:paraId="174FBF97" w14:textId="77777777" w:rsidR="004368CF" w:rsidRDefault="004368CF" w:rsidP="004368CF">
            <w:pPr>
              <w:numPr>
                <w:ilvl w:val="2"/>
                <w:numId w:val="5"/>
              </w:numPr>
              <w:rPr>
                <w:rFonts w:eastAsia="MS Mincho"/>
                <w:lang w:eastAsia="ja-JP"/>
              </w:rPr>
            </w:pPr>
            <w:r w:rsidRPr="00331477">
              <w:rPr>
                <w:rFonts w:eastAsia="MS Mincho"/>
                <w:lang w:eastAsia="ja-JP"/>
              </w:rPr>
              <w:t xml:space="preserve">The values of </w:t>
            </w:r>
            <w:proofErr w:type="spellStart"/>
            <w:r w:rsidRPr="00331477">
              <w:rPr>
                <w:rFonts w:eastAsia="MS Mincho"/>
                <w:lang w:eastAsia="ja-JP"/>
              </w:rPr>
              <w:t>mb</w:t>
            </w:r>
            <w:proofErr w:type="spellEnd"/>
            <w:r w:rsidRPr="00331477">
              <w:rPr>
                <w:rFonts w:eastAsia="MS Mincho"/>
                <w:lang w:eastAsia="ja-JP"/>
              </w:rPr>
              <w:t xml:space="preserve">, </w:t>
            </w:r>
            <w:proofErr w:type="spellStart"/>
            <w:r w:rsidRPr="00331477">
              <w:rPr>
                <w:rFonts w:eastAsia="MS Mincho"/>
                <w:lang w:eastAsia="ja-JP"/>
              </w:rPr>
              <w:t>nb</w:t>
            </w:r>
            <w:proofErr w:type="spellEnd"/>
            <w:r w:rsidRPr="00331477">
              <w:rPr>
                <w:rFonts w:eastAsia="MS Mincho"/>
                <w:lang w:eastAsia="ja-JP"/>
              </w:rPr>
              <w:t xml:space="preserve"> and </w:t>
            </w:r>
            <w:proofErr w:type="gramStart"/>
            <w:r w:rsidRPr="00331477">
              <w:rPr>
                <w:rFonts w:eastAsia="MS Mincho"/>
                <w:lang w:eastAsia="ja-JP"/>
              </w:rPr>
              <w:t>z  are</w:t>
            </w:r>
            <w:proofErr w:type="gramEnd"/>
            <w:r w:rsidRPr="00331477">
              <w:rPr>
                <w:rFonts w:eastAsia="MS Mincho"/>
                <w:lang w:eastAsia="ja-JP"/>
              </w:rPr>
              <w:t xml:space="preserve"> FFS. </w:t>
            </w:r>
          </w:p>
          <w:p w14:paraId="6975B814" w14:textId="77777777" w:rsidR="004368CF" w:rsidRDefault="004368CF" w:rsidP="004368CF">
            <w:pPr>
              <w:numPr>
                <w:ilvl w:val="0"/>
                <w:numId w:val="5"/>
              </w:numPr>
              <w:rPr>
                <w:rFonts w:eastAsia="MS Mincho"/>
                <w:lang w:eastAsia="ja-JP"/>
              </w:rPr>
            </w:pPr>
            <w:r>
              <w:rPr>
                <w:rFonts w:eastAsia="MS Mincho"/>
                <w:lang w:eastAsia="ja-JP"/>
              </w:rPr>
              <w:t>Companies providing evaluations or proposals for LDPC codes are encouraged to show how:</w:t>
            </w:r>
          </w:p>
          <w:p w14:paraId="6423C841" w14:textId="77777777" w:rsidR="004368CF" w:rsidRDefault="004368CF" w:rsidP="004368CF">
            <w:pPr>
              <w:numPr>
                <w:ilvl w:val="1"/>
                <w:numId w:val="5"/>
              </w:numPr>
              <w:rPr>
                <w:rFonts w:eastAsia="MS Mincho"/>
                <w:lang w:eastAsia="ja-JP"/>
              </w:rPr>
            </w:pPr>
            <w:r w:rsidRPr="00331477">
              <w:rPr>
                <w:rFonts w:eastAsia="MS Mincho"/>
                <w:lang w:eastAsia="ja-JP"/>
              </w:rPr>
              <w:t>Multiple code</w:t>
            </w:r>
            <w:r>
              <w:rPr>
                <w:rFonts w:eastAsia="MS Mincho"/>
                <w:lang w:eastAsia="ja-JP"/>
              </w:rPr>
              <w:t xml:space="preserve"> rates and multiple code sizes w</w:t>
            </w:r>
            <w:r w:rsidRPr="00331477">
              <w:rPr>
                <w:rFonts w:eastAsia="MS Mincho"/>
                <w:lang w:eastAsia="ja-JP"/>
              </w:rPr>
              <w:t>ould be supported</w:t>
            </w:r>
            <w:r>
              <w:rPr>
                <w:rFonts w:eastAsia="MS Mincho"/>
                <w:lang w:eastAsia="ja-JP"/>
              </w:rPr>
              <w:t xml:space="preserve">, </w:t>
            </w:r>
          </w:p>
          <w:p w14:paraId="4BC66285" w14:textId="77777777" w:rsidR="004368CF" w:rsidRPr="00331477" w:rsidRDefault="004368CF" w:rsidP="004368CF">
            <w:pPr>
              <w:numPr>
                <w:ilvl w:val="1"/>
                <w:numId w:val="5"/>
              </w:numPr>
              <w:rPr>
                <w:rFonts w:eastAsia="MS Mincho"/>
                <w:lang w:eastAsia="ja-JP"/>
              </w:rPr>
            </w:pPr>
            <w:r>
              <w:rPr>
                <w:rFonts w:eastAsia="MS Mincho"/>
                <w:lang w:eastAsia="ja-JP"/>
              </w:rPr>
              <w:t>Suitable</w:t>
            </w:r>
            <w:r w:rsidRPr="00331477">
              <w:rPr>
                <w:rFonts w:eastAsia="MS Mincho"/>
                <w:lang w:eastAsia="ja-JP"/>
              </w:rPr>
              <w:t xml:space="preserve"> granularity of  information block size and code rate</w:t>
            </w:r>
            <w:r>
              <w:rPr>
                <w:rFonts w:eastAsia="MS Mincho"/>
                <w:lang w:eastAsia="ja-JP"/>
              </w:rPr>
              <w:t xml:space="preserve"> would be supported,</w:t>
            </w:r>
          </w:p>
          <w:p w14:paraId="14BE5A4A" w14:textId="77777777" w:rsidR="004368CF" w:rsidRPr="00331477" w:rsidRDefault="004368CF" w:rsidP="004368CF">
            <w:pPr>
              <w:numPr>
                <w:ilvl w:val="1"/>
                <w:numId w:val="5"/>
              </w:numPr>
              <w:rPr>
                <w:rFonts w:eastAsia="MS Mincho"/>
                <w:lang w:eastAsia="ja-JP"/>
              </w:rPr>
            </w:pPr>
            <w:r w:rsidRPr="00331477">
              <w:rPr>
                <w:rFonts w:eastAsia="MS Mincho"/>
                <w:lang w:eastAsia="ja-JP"/>
              </w:rPr>
              <w:t>How to support HARQ</w:t>
            </w:r>
            <w:r>
              <w:rPr>
                <w:rFonts w:eastAsia="MS Mincho"/>
                <w:lang w:eastAsia="ja-JP"/>
              </w:rPr>
              <w:t xml:space="preserve"> with/without IR</w:t>
            </w:r>
            <w:r w:rsidRPr="00331477">
              <w:rPr>
                <w:rFonts w:eastAsia="MS Mincho"/>
                <w:lang w:eastAsia="ja-JP"/>
              </w:rPr>
              <w:t>.</w:t>
            </w:r>
          </w:p>
          <w:p w14:paraId="659A97C8" w14:textId="77777777" w:rsidR="004368CF" w:rsidRPr="00D3511E" w:rsidRDefault="004368CF" w:rsidP="008B484B">
            <w:pPr>
              <w:spacing w:before="120"/>
              <w:rPr>
                <w:rFonts w:eastAsia="MS Mincho"/>
                <w:lang w:eastAsia="ja-JP"/>
              </w:rPr>
            </w:pPr>
          </w:p>
        </w:tc>
      </w:tr>
    </w:tbl>
    <w:p w14:paraId="673F8117" w14:textId="77777777" w:rsidR="004368CF" w:rsidRDefault="004368CF" w:rsidP="004368CF">
      <w:pPr>
        <w:pStyle w:val="BodyText"/>
      </w:pPr>
    </w:p>
    <w:p w14:paraId="0A4833B0" w14:textId="77777777" w:rsidR="004368CF" w:rsidRDefault="004368CF" w:rsidP="004368CF">
      <w:pPr>
        <w:pStyle w:val="BodyText"/>
      </w:pPr>
      <w:r>
        <w:t>In this paper, we present a set of quasi-cyclic LDPC codes designed for NR. Simulation results of the LDPC code design is shown as well.</w:t>
      </w:r>
    </w:p>
    <w:p w14:paraId="0EF3A2BC" w14:textId="77777777" w:rsidR="004368CF" w:rsidRDefault="004368CF" w:rsidP="004368CF">
      <w:pPr>
        <w:pStyle w:val="BodyText"/>
      </w:pPr>
      <w:r>
        <w:t xml:space="preserve">The following parameters are used, which closely follow the simulation assumptions agreed for </w:t>
      </w:r>
      <w:proofErr w:type="spellStart"/>
      <w:r>
        <w:t>eMBB</w:t>
      </w:r>
      <w:proofErr w:type="spellEnd"/>
      <w:r>
        <w:t>&gt;</w:t>
      </w:r>
    </w:p>
    <w:p w14:paraId="33B6B7D3" w14:textId="77777777" w:rsidR="004368CF" w:rsidRDefault="004368CF" w:rsidP="004368CF">
      <w:pPr>
        <w:pStyle w:val="BodyText"/>
        <w:numPr>
          <w:ilvl w:val="0"/>
          <w:numId w:val="6"/>
        </w:numPr>
      </w:pPr>
      <w:r>
        <w:t xml:space="preserve">Code rate: </w:t>
      </w:r>
      <w:r w:rsidRPr="008F480C">
        <w:t>1/5, 1/3, 2/5, 1/2, 2/3, 3/4, 5/6, 8/9</w:t>
      </w:r>
    </w:p>
    <w:p w14:paraId="1D06D62E" w14:textId="77777777" w:rsidR="004368CF" w:rsidRDefault="004368CF" w:rsidP="004368CF">
      <w:pPr>
        <w:pStyle w:val="BodyText"/>
        <w:numPr>
          <w:ilvl w:val="0"/>
          <w:numId w:val="6"/>
        </w:numPr>
      </w:pPr>
      <w:r>
        <w:rPr>
          <w:rFonts w:ascii="Nokia Pure Text" w:eastAsia="Nokia Pure Text" w:hAnsi="Nokia Pure Text" w:cs="Nokia Pure Text"/>
          <w:color w:val="000000"/>
          <w:kern w:val="24"/>
          <w:lang w:eastAsia="ko-KR"/>
        </w:rPr>
        <w:t>Info. block length</w:t>
      </w:r>
      <w:r w:rsidRPr="00F7544D">
        <w:rPr>
          <w:rFonts w:ascii="Nokia Pure Text" w:eastAsia="Nokia Pure Text" w:hAnsi="Nokia Pure Text" w:cs="Nokia Pure Text"/>
          <w:color w:val="000000"/>
          <w:kern w:val="24"/>
          <w:lang w:eastAsia="ko-KR"/>
        </w:rPr>
        <w:t xml:space="preserve"> (bits w/o CRC)</w:t>
      </w:r>
      <w:r>
        <w:rPr>
          <w:rFonts w:ascii="Nokia Pure Text" w:eastAsia="Nokia Pure Text" w:hAnsi="Nokia Pure Text" w:cs="Nokia Pure Text"/>
          <w:color w:val="000000"/>
          <w:kern w:val="24"/>
          <w:lang w:eastAsia="ko-KR"/>
        </w:rPr>
        <w:t xml:space="preserve">: </w:t>
      </w:r>
      <w:r w:rsidRPr="008B484B">
        <w:rPr>
          <w:rFonts w:ascii="Nokia Pure Text" w:eastAsia="Nokia Pure Text" w:hAnsi="Nokia Pure Text" w:cs="Nokia Pure Text"/>
          <w:strike/>
          <w:color w:val="000000"/>
          <w:kern w:val="24"/>
          <w:lang w:eastAsia="ko-KR"/>
        </w:rPr>
        <w:t>100, 400,</w:t>
      </w:r>
      <w:r w:rsidRPr="00F7544D">
        <w:rPr>
          <w:rFonts w:ascii="Nokia Pure Text" w:eastAsia="Nokia Pure Text" w:hAnsi="Nokia Pure Text" w:cs="Nokia Pure Text"/>
          <w:color w:val="000000"/>
          <w:kern w:val="24"/>
          <w:lang w:eastAsia="ko-KR"/>
        </w:rPr>
        <w:t xml:space="preserve"> 1000, 2000, 4000, 6000, 8000</w:t>
      </w:r>
    </w:p>
    <w:p w14:paraId="2A536732" w14:textId="77777777" w:rsidR="004368CF" w:rsidRPr="00874A57" w:rsidRDefault="004368CF" w:rsidP="004368CF">
      <w:pPr>
        <w:pStyle w:val="BodyText"/>
      </w:pPr>
      <w:r w:rsidRPr="008B484B">
        <w:t xml:space="preserve">Information block lengths of 100 and 400 bits are not simulated in this contribution. It is known that LDPC code performance is inferior to turbo codes for small information block size, as well as low code rate (e.g., R&lt;=1/2). It is preferable that turbo codes </w:t>
      </w:r>
      <w:r>
        <w:t>are used for info block sizes like 100 and 400 bits. Transmissions that use K=100 and 400 bits clearly do not require high throughput LDPC decoder implementation.</w:t>
      </w:r>
    </w:p>
    <w:p w14:paraId="5CAAC3C0" w14:textId="77777777" w:rsidR="004368CF" w:rsidRPr="00874A57" w:rsidRDefault="004368CF" w:rsidP="004368CF">
      <w:pPr>
        <w:pStyle w:val="BodyText"/>
      </w:pPr>
    </w:p>
    <w:p w14:paraId="1E248DBF" w14:textId="77777777" w:rsidR="004368CF" w:rsidRPr="006F7EAF" w:rsidRDefault="004368CF" w:rsidP="004368CF">
      <w:pPr>
        <w:pStyle w:val="Heading1"/>
      </w:pPr>
      <w:r>
        <w:t>Description of the LDPC Code Design</w:t>
      </w:r>
    </w:p>
    <w:p w14:paraId="7B5E8890" w14:textId="77777777" w:rsidR="004368CF" w:rsidRDefault="004368CF" w:rsidP="004368CF">
      <w:pPr>
        <w:pStyle w:val="BodyText"/>
        <w:tabs>
          <w:tab w:val="right" w:pos="9072"/>
        </w:tabs>
        <w:ind w:right="567"/>
      </w:pPr>
      <w:r>
        <w:t xml:space="preserve">We consider a family of rate-compatible LDPC codes based on </w:t>
      </w:r>
      <w:proofErr w:type="spellStart"/>
      <w:r>
        <w:t>protographs</w:t>
      </w:r>
      <w:proofErr w:type="spellEnd"/>
      <w:r>
        <w:t xml:space="preserve">, which was first proposed in </w:t>
      </w:r>
      <w:r>
        <w:fldChar w:fldCharType="begin"/>
      </w:r>
      <w:r>
        <w:instrText xml:space="preserve"> REF _Ref450037767 \n \h  \* MERGEFORMAT </w:instrText>
      </w:r>
      <w:r>
        <w:fldChar w:fldCharType="separate"/>
      </w:r>
      <w:r>
        <w:t>[1]</w:t>
      </w:r>
      <w:r>
        <w:fldChar w:fldCharType="end"/>
      </w:r>
      <w:r>
        <w:t xml:space="preserve">. The LDPC codes are designed for a high rate and then expanded to achieve lower rate codes. </w:t>
      </w:r>
    </w:p>
    <w:p w14:paraId="74A9F4A5" w14:textId="77777777" w:rsidR="004368CF" w:rsidRDefault="004368CF" w:rsidP="004368CF">
      <w:pPr>
        <w:pStyle w:val="BodyText"/>
        <w:tabs>
          <w:tab w:val="right" w:pos="9072"/>
        </w:tabs>
        <w:ind w:right="567"/>
      </w:pPr>
      <w:r>
        <w:t xml:space="preserve">The LDPC codes considered here are similar to the </w:t>
      </w:r>
      <w:proofErr w:type="spellStart"/>
      <w:r>
        <w:t>protograph</w:t>
      </w:r>
      <w:proofErr w:type="spellEnd"/>
      <w:r>
        <w:t xml:space="preserve">-based raptor-like LDPC codes proposed in </w:t>
      </w:r>
      <w:r>
        <w:fldChar w:fldCharType="begin"/>
      </w:r>
      <w:r>
        <w:instrText xml:space="preserve"> REF _Ref450038105 \n \h  \* MERGEFORMAT </w:instrText>
      </w:r>
      <w:r>
        <w:fldChar w:fldCharType="separate"/>
      </w:r>
      <w:r>
        <w:t>[2]</w:t>
      </w:r>
      <w:r>
        <w:fldChar w:fldCharType="end"/>
      </w:r>
      <w:r>
        <w:t xml:space="preserve">. The base matrix depicted in </w:t>
      </w:r>
      <w:r>
        <w:fldChar w:fldCharType="begin"/>
      </w:r>
      <w:r>
        <w:instrText xml:space="preserve"> REF _Ref458797878 \h </w:instrText>
      </w:r>
      <w:r>
        <w:fldChar w:fldCharType="separate"/>
      </w:r>
      <w:r w:rsidRPr="00DC1CDF">
        <w:t xml:space="preserve">Figure </w:t>
      </w:r>
      <w:r>
        <w:rPr>
          <w:noProof/>
        </w:rPr>
        <w:t>1</w:t>
      </w:r>
      <w:r>
        <w:fldChar w:fldCharType="end"/>
      </w:r>
      <w:r>
        <w:t>has the form</w:t>
      </w:r>
    </w:p>
    <w:p w14:paraId="371B535B" w14:textId="77777777" w:rsidR="004368CF" w:rsidRDefault="00CC02E0" w:rsidP="004368CF">
      <w:pPr>
        <w:pStyle w:val="BodyText"/>
        <w:tabs>
          <w:tab w:val="right" w:pos="9072"/>
        </w:tabs>
        <w:ind w:right="567"/>
        <w:jc w:val="center"/>
      </w:pPr>
      <m:oMath>
        <m:sSub>
          <m:sSubPr>
            <m:ctrlPr>
              <w:rPr>
                <w:rFonts w:ascii="Cambria Math" w:hAnsi="Cambria Math"/>
                <w:i/>
              </w:rPr>
            </m:ctrlPr>
          </m:sSubPr>
          <m:e>
            <m:r>
              <w:rPr>
                <w:rFonts w:ascii="Cambria Math" w:hAnsi="Cambria Math"/>
              </w:rPr>
              <m:t>H</m:t>
            </m:r>
          </m:e>
          <m:sub>
            <m:r>
              <w:rPr>
                <w:rFonts w:ascii="Cambria Math" w:hAnsi="Cambria Math"/>
              </w:rPr>
              <m:t>prot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bi"/>
                    </m:rPr>
                    <w:rPr>
                      <w:rFonts w:ascii="Cambria Math" w:hAnsi="Cambria Math"/>
                    </w:rPr>
                    <m:t>A</m:t>
                  </m:r>
                </m:e>
                <m:e>
                  <m:r>
                    <m:rPr>
                      <m:sty m:val="bi"/>
                    </m:rPr>
                    <w:rPr>
                      <w:rFonts w:ascii="Cambria Math" w:hAnsi="Cambria Math"/>
                    </w:rPr>
                    <m:t>0</m:t>
                  </m:r>
                </m:e>
              </m:mr>
              <m:mr>
                <m:e>
                  <m:r>
                    <m:rPr>
                      <m:sty m:val="bi"/>
                    </m:rPr>
                    <w:rPr>
                      <w:rFonts w:ascii="Cambria Math" w:hAnsi="Cambria Math"/>
                    </w:rPr>
                    <m:t>B</m:t>
                  </m:r>
                </m:e>
                <m:e>
                  <m:r>
                    <m:rPr>
                      <m:sty m:val="b"/>
                    </m:rPr>
                    <w:rPr>
                      <w:rFonts w:ascii="Cambria Math" w:hAnsi="Cambria Math"/>
                    </w:rPr>
                    <m:t>I</m:t>
                  </m:r>
                </m:e>
              </m:mr>
            </m:m>
          </m:e>
        </m:d>
      </m:oMath>
      <w:r w:rsidR="004368CF">
        <w:t>,</w:t>
      </w:r>
    </w:p>
    <w:p w14:paraId="2E5995D0" w14:textId="77777777" w:rsidR="004368CF" w:rsidRPr="004C0AA3" w:rsidRDefault="004368CF" w:rsidP="004368CF">
      <w:pPr>
        <w:pStyle w:val="BodyText"/>
        <w:tabs>
          <w:tab w:val="right" w:pos="9072"/>
        </w:tabs>
        <w:ind w:right="567"/>
      </w:pPr>
      <w:r>
        <w:t xml:space="preserve">where </w:t>
      </w:r>
      <w:r w:rsidRPr="00143682">
        <w:rPr>
          <w:b/>
        </w:rPr>
        <w:t>A</w:t>
      </w:r>
      <w:r>
        <w:t xml:space="preserve"> and </w:t>
      </w:r>
      <w:r w:rsidRPr="00143682">
        <w:rPr>
          <w:b/>
        </w:rPr>
        <w:t>B</w:t>
      </w:r>
      <w:r>
        <w:t xml:space="preserve"> are matrices describing the </w:t>
      </w:r>
      <w:proofErr w:type="spellStart"/>
      <w:r>
        <w:t>protograph</w:t>
      </w:r>
      <w:proofErr w:type="spellEnd"/>
      <w:r>
        <w:t xml:space="preserve">, </w:t>
      </w:r>
      <w:r w:rsidRPr="00143682">
        <w:rPr>
          <w:b/>
        </w:rPr>
        <w:t>0</w:t>
      </w:r>
      <w:r>
        <w:t xml:space="preserve"> is a zero matrix of proper size, and </w:t>
      </w:r>
      <w:r w:rsidRPr="00143682">
        <w:rPr>
          <w:b/>
        </w:rPr>
        <w:t>I</w:t>
      </w:r>
      <w:r>
        <w:t xml:space="preserve"> is the identity matrix with as many rows as </w:t>
      </w:r>
      <w:r>
        <w:rPr>
          <w:b/>
        </w:rPr>
        <w:t>B</w:t>
      </w:r>
      <w:r>
        <w:t xml:space="preserve">. All variable nodes not involved in </w:t>
      </w:r>
      <w:r w:rsidRPr="00143682">
        <w:rPr>
          <w:b/>
        </w:rPr>
        <w:t>A</w:t>
      </w:r>
      <w:r>
        <w:t xml:space="preserve"> and </w:t>
      </w:r>
      <w:r w:rsidRPr="00143682">
        <w:rPr>
          <w:b/>
        </w:rPr>
        <w:t>B</w:t>
      </w:r>
      <w:r>
        <w:t xml:space="preserve">, in the following denoted the incremental redundancy (IR) variable nodes, have degree 1. The </w:t>
      </w:r>
      <w:proofErr w:type="spellStart"/>
      <w:r>
        <w:t>protograph</w:t>
      </w:r>
      <w:proofErr w:type="spellEnd"/>
      <w:r>
        <w:t xml:space="preserve"> is lifted in two steps, first with arbitrary permutation matrices of size 3x3 and then with </w:t>
      </w:r>
      <w:proofErr w:type="spellStart"/>
      <w:r>
        <w:t>circulant</w:t>
      </w:r>
      <w:proofErr w:type="spellEnd"/>
      <w:r>
        <w:t xml:space="preserve"> matrices of size </w:t>
      </w:r>
      <w:r>
        <w:rPr>
          <w:rFonts w:ascii="TimesNewRoman,Italic" w:eastAsiaTheme="minorHAnsi" w:hAnsi="TimesNewRoman,Italic" w:cs="TimesNewRoman,Italic"/>
          <w:i/>
          <w:iCs/>
          <w:szCs w:val="20"/>
        </w:rPr>
        <w:t xml:space="preserve">Z </w:t>
      </w:r>
      <w:r>
        <w:rPr>
          <w:rFonts w:ascii="TimesNewRoman,Bold" w:eastAsiaTheme="minorHAnsi" w:hAnsi="TimesNewRoman,Bold" w:cs="TimesNewRoman,Bold"/>
          <w:b/>
          <w:bCs/>
          <w:szCs w:val="20"/>
        </w:rPr>
        <w:t xml:space="preserve">× </w:t>
      </w:r>
      <w:r>
        <w:rPr>
          <w:rFonts w:ascii="TimesNewRoman,Italic" w:eastAsiaTheme="minorHAnsi" w:hAnsi="TimesNewRoman,Italic" w:cs="TimesNewRoman,Italic"/>
          <w:i/>
          <w:iCs/>
          <w:szCs w:val="20"/>
        </w:rPr>
        <w:t>Z</w:t>
      </w:r>
      <w:r>
        <w:t xml:space="preserve">. After the first lifting, the part of </w:t>
      </w:r>
      <w:r w:rsidRPr="00143682">
        <w:rPr>
          <w:b/>
        </w:rPr>
        <w:t>A</w:t>
      </w:r>
      <w:r>
        <w:t xml:space="preserve"> corresponding to parity bits is replaced with a </w:t>
      </w:r>
      <w:proofErr w:type="spellStart"/>
      <w:r>
        <w:t>bidiagonal</w:t>
      </w:r>
      <w:proofErr w:type="spellEnd"/>
      <w:r>
        <w:t xml:space="preserve"> structure of degree two variable nodes to facilitate linear time encoding. </w:t>
      </w:r>
      <w:r>
        <w:rPr>
          <w:rFonts w:ascii="TimesNewRoman" w:eastAsiaTheme="minorHAnsi" w:hAnsi="TimesNewRoman" w:cs="TimesNewRoman"/>
          <w:szCs w:val="20"/>
        </w:rPr>
        <w:t xml:space="preserve">The two-stage lifting gives rise to a larger base matrix, but apart from a few parity nodes in </w:t>
      </w:r>
      <w:r w:rsidRPr="00143682">
        <w:rPr>
          <w:b/>
        </w:rPr>
        <w:t>A</w:t>
      </w:r>
      <w:r>
        <w:rPr>
          <w:b/>
        </w:rPr>
        <w:t xml:space="preserve">, </w:t>
      </w:r>
      <w:r>
        <w:rPr>
          <w:rFonts w:ascii="TimesNewRoman" w:eastAsiaTheme="minorHAnsi" w:hAnsi="TimesNewRoman" w:cs="TimesNewRoman"/>
          <w:szCs w:val="20"/>
        </w:rPr>
        <w:t>the different types of connections in the matrix will be the same as if a one-stage lifting were employed, and the same level of parallelism can be achieved as for a code based on a one-stage lifting of a smaller base matrix</w:t>
      </w:r>
    </w:p>
    <w:p w14:paraId="3DD5188A" w14:textId="77777777" w:rsidR="004368CF" w:rsidRDefault="004368CF" w:rsidP="004368CF">
      <w:pPr>
        <w:autoSpaceDE w:val="0"/>
        <w:autoSpaceDN w:val="0"/>
        <w:adjustRightInd w:val="0"/>
        <w:jc w:val="both"/>
        <w:rPr>
          <w:rFonts w:ascii="TimesNewRoman" w:eastAsiaTheme="minorHAnsi" w:hAnsi="TimesNewRoman" w:cs="TimesNewRoman"/>
          <w:szCs w:val="20"/>
        </w:rPr>
      </w:pPr>
    </w:p>
    <w:p w14:paraId="331B4704" w14:textId="77777777" w:rsidR="004368CF" w:rsidRDefault="004368CF" w:rsidP="004368CF">
      <w:pPr>
        <w:autoSpaceDE w:val="0"/>
        <w:autoSpaceDN w:val="0"/>
        <w:adjustRightInd w:val="0"/>
        <w:ind w:right="567"/>
        <w:jc w:val="both"/>
      </w:pPr>
      <w:r>
        <w:t xml:space="preserve">The first </w:t>
      </w:r>
      <w:r w:rsidRPr="00B376F2">
        <w:rPr>
          <w:i/>
        </w:rPr>
        <w:t xml:space="preserve">3 </w:t>
      </w:r>
      <w:r>
        <w:rPr>
          <w:rFonts w:ascii="TimesNewRoman,Bold" w:eastAsiaTheme="minorHAnsi" w:hAnsi="TimesNewRoman,Bold" w:cs="TimesNewRoman,Bold"/>
          <w:b/>
          <w:bCs/>
          <w:szCs w:val="20"/>
        </w:rPr>
        <w:t>×</w:t>
      </w:r>
      <w:r w:rsidRPr="00B376F2">
        <w:rPr>
          <w:i/>
        </w:rPr>
        <w:t xml:space="preserve"> Z</w:t>
      </w:r>
      <w:r>
        <w:rPr>
          <w:i/>
        </w:rPr>
        <w:t xml:space="preserve"> </w:t>
      </w:r>
      <w:r>
        <w:t xml:space="preserve">systematic variable nodes are punctured, a structure that has been shown to reduce the threshold of the code </w:t>
      </w:r>
      <w:r>
        <w:fldChar w:fldCharType="begin"/>
      </w:r>
      <w:r>
        <w:instrText xml:space="preserve"> REF _Ref450651924 \r \h  \* MERGEFORMAT </w:instrText>
      </w:r>
      <w:r>
        <w:fldChar w:fldCharType="separate"/>
      </w:r>
      <w:r>
        <w:t>[3]</w:t>
      </w:r>
      <w:r>
        <w:fldChar w:fldCharType="end"/>
      </w:r>
      <w:r>
        <w:t xml:space="preserve">. The remaining variable nodes involved in A and B are always transmitted as well as the first </w:t>
      </w:r>
      <w:r w:rsidRPr="00B376F2">
        <w:rPr>
          <w:i/>
        </w:rPr>
        <w:t xml:space="preserve">3 </w:t>
      </w:r>
      <w:r>
        <w:rPr>
          <w:rFonts w:ascii="TimesNewRoman,Bold" w:eastAsiaTheme="minorHAnsi" w:hAnsi="TimesNewRoman,Bold" w:cs="TimesNewRoman,Bold"/>
          <w:b/>
          <w:bCs/>
          <w:szCs w:val="20"/>
        </w:rPr>
        <w:t>×</w:t>
      </w:r>
      <w:r w:rsidRPr="00B376F2">
        <w:rPr>
          <w:i/>
        </w:rPr>
        <w:t xml:space="preserve"> Z</w:t>
      </w:r>
      <w:r>
        <w:rPr>
          <w:i/>
        </w:rPr>
        <w:t xml:space="preserve"> </w:t>
      </w:r>
      <w:r>
        <w:t>variable nodes of the incremental redundancy part. This gives the highest rate code. The rate may be reduced by transmitting additional variable nodes from the incremental redundancy part. Check-nodes connected to the variable-nodes of the incremental redundancy part that are not transmitted can be deactivated when decoding.</w:t>
      </w:r>
    </w:p>
    <w:p w14:paraId="64B21B0C" w14:textId="77777777" w:rsidR="00D95245" w:rsidRDefault="00D95245" w:rsidP="004368CF">
      <w:pPr>
        <w:autoSpaceDE w:val="0"/>
        <w:autoSpaceDN w:val="0"/>
        <w:adjustRightInd w:val="0"/>
        <w:ind w:right="567"/>
        <w:jc w:val="both"/>
        <w:rPr>
          <w:rFonts w:ascii="TimesNewRoman" w:eastAsiaTheme="minorHAnsi" w:hAnsi="TimesNewRoman" w:cs="TimesNewRoman"/>
          <w:szCs w:val="20"/>
        </w:rPr>
      </w:pPr>
    </w:p>
    <w:p w14:paraId="388038F9" w14:textId="77777777" w:rsidR="004368CF" w:rsidRDefault="004368CF" w:rsidP="004368CF">
      <w:pPr>
        <w:pStyle w:val="BodyText"/>
        <w:jc w:val="center"/>
      </w:pPr>
      <w:r>
        <w:rPr>
          <w:noProof/>
          <w:lang w:eastAsia="zh-CN"/>
        </w:rPr>
        <w:drawing>
          <wp:inline distT="0" distB="0" distL="0" distR="0" wp14:anchorId="23D1C840" wp14:editId="41FC0A07">
            <wp:extent cx="5145405" cy="36093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45405" cy="3609340"/>
                    </a:xfrm>
                    <a:prstGeom prst="rect">
                      <a:avLst/>
                    </a:prstGeom>
                    <a:noFill/>
                  </pic:spPr>
                </pic:pic>
              </a:graphicData>
            </a:graphic>
          </wp:inline>
        </w:drawing>
      </w:r>
    </w:p>
    <w:p w14:paraId="2A167E1A" w14:textId="77777777" w:rsidR="004368CF" w:rsidRDefault="004368CF" w:rsidP="004368CF">
      <w:pPr>
        <w:pStyle w:val="BodyText"/>
        <w:jc w:val="center"/>
      </w:pPr>
      <w:bookmarkStart w:id="3" w:name="_Ref458797878"/>
      <w:r w:rsidRPr="00DC1CDF">
        <w:t xml:space="preserve">Figure </w:t>
      </w:r>
      <w:r w:rsidRPr="00471F75">
        <w:fldChar w:fldCharType="begin"/>
      </w:r>
      <w:r w:rsidRPr="00DC1CDF">
        <w:instrText xml:space="preserve"> SEQ Figure \* ARABIC </w:instrText>
      </w:r>
      <w:r w:rsidRPr="00471F75">
        <w:fldChar w:fldCharType="separate"/>
      </w:r>
      <w:r>
        <w:rPr>
          <w:noProof/>
        </w:rPr>
        <w:t>1</w:t>
      </w:r>
      <w:r w:rsidRPr="00471F75">
        <w:fldChar w:fldCharType="end"/>
      </w:r>
      <w:bookmarkEnd w:id="3"/>
      <w:r w:rsidRPr="005349CC">
        <w:t>.</w:t>
      </w:r>
      <w:r>
        <w:t xml:space="preserve"> Illustration of LDPC code structure.</w:t>
      </w:r>
    </w:p>
    <w:p w14:paraId="606AA167" w14:textId="77777777" w:rsidR="002516CF" w:rsidRPr="002516CF" w:rsidRDefault="002516CF" w:rsidP="002516CF">
      <w:pPr>
        <w:rPr>
          <w:szCs w:val="22"/>
        </w:rPr>
      </w:pPr>
      <w:r w:rsidRPr="002516CF">
        <w:t>Proposal: Puncturing of high-column weight systematic bits can be designed in to improve LDPC code performance.</w:t>
      </w:r>
    </w:p>
    <w:p w14:paraId="3BF07686" w14:textId="6A59009A" w:rsidR="004368CF" w:rsidRDefault="004368CF" w:rsidP="004368CF">
      <w:pPr>
        <w:pStyle w:val="BodyText"/>
      </w:pPr>
    </w:p>
    <w:p w14:paraId="12FFCCAC" w14:textId="77777777" w:rsidR="004368CF" w:rsidRDefault="004368CF" w:rsidP="004368CF">
      <w:pPr>
        <w:pStyle w:val="Heading2"/>
        <w:tabs>
          <w:tab w:val="clear" w:pos="3447"/>
        </w:tabs>
        <w:ind w:left="540"/>
      </w:pPr>
      <w:r>
        <w:t>Granularity of Code Rates</w:t>
      </w:r>
    </w:p>
    <w:p w14:paraId="7A5B9BBA" w14:textId="7BD3EC03" w:rsidR="004368CF" w:rsidRDefault="004368CF" w:rsidP="004368CF">
      <w:pPr>
        <w:pStyle w:val="BodyText"/>
      </w:pPr>
      <w:r>
        <w:t xml:space="preserve">The code corresponding to the submatrix </w:t>
      </w:r>
      <w:r w:rsidRPr="00143682">
        <w:rPr>
          <w:b/>
        </w:rPr>
        <w:t>A</w:t>
      </w:r>
      <w:r>
        <w:t xml:space="preserve"> has rate 8/9, and the code corresponding to the full matrix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bi"/>
                    </m:rPr>
                    <w:rPr>
                      <w:rFonts w:ascii="Cambria Math" w:hAnsi="Cambria Math"/>
                    </w:rPr>
                    <m:t>A</m:t>
                  </m:r>
                </m:e>
                <m:e>
                  <m:r>
                    <m:rPr>
                      <m:sty m:val="bi"/>
                    </m:rPr>
                    <w:rPr>
                      <w:rFonts w:ascii="Cambria Math" w:hAnsi="Cambria Math"/>
                    </w:rPr>
                    <m:t>0</m:t>
                  </m:r>
                </m:e>
              </m:mr>
              <m:mr>
                <m:e>
                  <m:r>
                    <m:rPr>
                      <m:sty m:val="bi"/>
                    </m:rPr>
                    <w:rPr>
                      <w:rFonts w:ascii="Cambria Math" w:hAnsi="Cambria Math"/>
                    </w:rPr>
                    <m:t>B</m:t>
                  </m:r>
                </m:e>
                <m:e>
                  <m:r>
                    <m:rPr>
                      <m:sty m:val="b"/>
                    </m:rPr>
                    <w:rPr>
                      <w:rFonts w:ascii="Cambria Math" w:hAnsi="Cambria Math"/>
                    </w:rPr>
                    <m:t>I</m:t>
                  </m:r>
                </m:e>
              </m:mr>
            </m:m>
          </m:e>
        </m:d>
        <m:r>
          <w:rPr>
            <w:rFonts w:ascii="Cambria Math" w:hAnsi="Cambria Math"/>
          </w:rPr>
          <m:t xml:space="preserve"> </m:t>
        </m:r>
      </m:oMath>
      <w:r>
        <w:t>has rate 1/3. To reach lower rates</w:t>
      </w:r>
      <w:proofErr w:type="gramStart"/>
      <w:r>
        <w:t xml:space="preserve">, </w:t>
      </w:r>
      <w:r w:rsidR="00E42D3A">
        <w:t>,</w:t>
      </w:r>
      <w:proofErr w:type="gramEnd"/>
      <w:r w:rsidR="00E42D3A">
        <w:t xml:space="preserve"> repetition based on a circular buffer is used, excluding the punctured variable nodes marked in yellow in </w:t>
      </w:r>
      <w:r w:rsidR="00E42D3A">
        <w:fldChar w:fldCharType="begin"/>
      </w:r>
      <w:r w:rsidR="00E42D3A">
        <w:instrText xml:space="preserve"> REF _Ref458797878 \h </w:instrText>
      </w:r>
      <w:r w:rsidR="00E42D3A">
        <w:fldChar w:fldCharType="separate"/>
      </w:r>
      <w:r w:rsidR="00E42D3A" w:rsidRPr="00DC1CDF">
        <w:t xml:space="preserve">Figure </w:t>
      </w:r>
      <w:r w:rsidR="00E42D3A">
        <w:rPr>
          <w:noProof/>
        </w:rPr>
        <w:t>1</w:t>
      </w:r>
      <w:r w:rsidR="00E42D3A">
        <w:fldChar w:fldCharType="end"/>
      </w:r>
      <w:r w:rsidR="00E42D3A">
        <w:rPr>
          <w:b/>
        </w:rPr>
        <w:t>.</w:t>
      </w:r>
      <w:r w:rsidR="00E42D3A">
        <w:t xml:space="preserve"> </w:t>
      </w:r>
      <w:r w:rsidR="00654B17">
        <w:t xml:space="preserve">To support the same number of retransmissions as </w:t>
      </w:r>
      <w:r w:rsidR="002516CF">
        <w:t xml:space="preserve">in </w:t>
      </w:r>
      <w:r w:rsidR="00654B17">
        <w:t xml:space="preserve">LTE, </w:t>
      </w:r>
      <w:r w:rsidR="002516CF">
        <w:t>it is necessary to have a family of rate compatible codes spanning a large set of rates. For example, for an initial transmission of rate 8/9 the final code rate after two retransmissions is appro</w:t>
      </w:r>
      <w:r w:rsidR="00E42D3A">
        <w:t>xi</w:t>
      </w:r>
      <w:r w:rsidR="002516CF">
        <w:t>mately 0.3. We have the following observation and proposal</w:t>
      </w:r>
    </w:p>
    <w:p w14:paraId="6A7AFF54" w14:textId="2B186145" w:rsidR="002516CF" w:rsidRPr="002516CF" w:rsidRDefault="00D95245" w:rsidP="00D95245">
      <w:pPr>
        <w:pStyle w:val="ListParagraph"/>
        <w:ind w:left="0"/>
        <w:jc w:val="both"/>
        <w:rPr>
          <w:rFonts w:ascii="Times New Roman" w:hAnsi="Times New Roman"/>
          <w:sz w:val="20"/>
          <w:szCs w:val="20"/>
          <w:lang w:val="en-US" w:eastAsia="en-US"/>
        </w:rPr>
      </w:pPr>
      <w:r>
        <w:rPr>
          <w:rFonts w:ascii="Times New Roman" w:hAnsi="Times New Roman"/>
          <w:sz w:val="20"/>
          <w:szCs w:val="20"/>
          <w:lang w:val="en-US" w:eastAsia="en-US"/>
        </w:rPr>
        <w:t xml:space="preserve">It is observed that the proposed LDPC code is capable of </w:t>
      </w:r>
      <w:r w:rsidR="002516CF" w:rsidRPr="002516CF">
        <w:rPr>
          <w:rFonts w:ascii="Times New Roman" w:hAnsi="Times New Roman"/>
          <w:sz w:val="20"/>
          <w:szCs w:val="20"/>
          <w:lang w:val="en-US" w:eastAsia="en-US"/>
        </w:rPr>
        <w:t>support</w:t>
      </w:r>
      <w:r>
        <w:rPr>
          <w:rFonts w:ascii="Times New Roman" w:hAnsi="Times New Roman"/>
          <w:sz w:val="20"/>
          <w:szCs w:val="20"/>
          <w:lang w:val="en-US" w:eastAsia="en-US"/>
        </w:rPr>
        <w:t>ing</w:t>
      </w:r>
      <w:r w:rsidR="002516CF" w:rsidRPr="002516CF">
        <w:rPr>
          <w:rFonts w:ascii="Times New Roman" w:hAnsi="Times New Roman"/>
          <w:sz w:val="20"/>
          <w:szCs w:val="20"/>
          <w:lang w:val="en-US" w:eastAsia="en-US"/>
        </w:rPr>
        <w:t xml:space="preserve"> IR HARQ with minor performance loss</w:t>
      </w:r>
      <w:r>
        <w:rPr>
          <w:rFonts w:ascii="Times New Roman" w:hAnsi="Times New Roman"/>
          <w:sz w:val="20"/>
          <w:szCs w:val="20"/>
          <w:lang w:val="en-US" w:eastAsia="en-US"/>
        </w:rPr>
        <w:t>, ranging</w:t>
      </w:r>
      <w:r w:rsidR="002516CF" w:rsidRPr="002516CF">
        <w:rPr>
          <w:rFonts w:ascii="Times New Roman" w:hAnsi="Times New Roman"/>
          <w:sz w:val="20"/>
          <w:szCs w:val="20"/>
          <w:lang w:val="en-US" w:eastAsia="en-US"/>
        </w:rPr>
        <w:t xml:space="preserve"> from high </w:t>
      </w:r>
      <w:r>
        <w:rPr>
          <w:rFonts w:ascii="Times New Roman" w:hAnsi="Times New Roman"/>
          <w:sz w:val="20"/>
          <w:szCs w:val="20"/>
          <w:lang w:val="en-US" w:eastAsia="en-US"/>
        </w:rPr>
        <w:t xml:space="preserve">very </w:t>
      </w:r>
      <w:r w:rsidR="002516CF" w:rsidRPr="002516CF">
        <w:rPr>
          <w:rFonts w:ascii="Times New Roman" w:hAnsi="Times New Roman"/>
          <w:sz w:val="20"/>
          <w:szCs w:val="20"/>
          <w:lang w:val="en-US" w:eastAsia="en-US"/>
        </w:rPr>
        <w:t xml:space="preserve">code rate (e.g., R=8/9) to </w:t>
      </w:r>
      <w:r>
        <w:rPr>
          <w:rFonts w:ascii="Times New Roman" w:hAnsi="Times New Roman"/>
          <w:sz w:val="20"/>
          <w:szCs w:val="20"/>
          <w:lang w:val="en-US" w:eastAsia="en-US"/>
        </w:rPr>
        <w:t xml:space="preserve">very </w:t>
      </w:r>
      <w:r w:rsidR="002516CF" w:rsidRPr="002516CF">
        <w:rPr>
          <w:rFonts w:ascii="Times New Roman" w:hAnsi="Times New Roman"/>
          <w:sz w:val="20"/>
          <w:szCs w:val="20"/>
          <w:lang w:val="en-US" w:eastAsia="en-US"/>
        </w:rPr>
        <w:t>low code rate (</w:t>
      </w:r>
      <w:proofErr w:type="spellStart"/>
      <w:r w:rsidR="002516CF" w:rsidRPr="002516CF">
        <w:rPr>
          <w:rFonts w:ascii="Times New Roman" w:hAnsi="Times New Roman"/>
          <w:sz w:val="20"/>
          <w:szCs w:val="20"/>
          <w:lang w:val="en-US" w:eastAsia="en-US"/>
        </w:rPr>
        <w:t>e.g.,R</w:t>
      </w:r>
      <w:proofErr w:type="spellEnd"/>
      <w:r w:rsidR="002516CF" w:rsidRPr="002516CF">
        <w:rPr>
          <w:rFonts w:ascii="Times New Roman" w:hAnsi="Times New Roman"/>
          <w:sz w:val="20"/>
          <w:szCs w:val="20"/>
          <w:lang w:val="en-US" w:eastAsia="en-US"/>
        </w:rPr>
        <w:t>=1/</w:t>
      </w:r>
      <w:r>
        <w:rPr>
          <w:rFonts w:ascii="Times New Roman" w:hAnsi="Times New Roman"/>
          <w:sz w:val="20"/>
          <w:szCs w:val="20"/>
          <w:lang w:val="en-US" w:eastAsia="en-US"/>
        </w:rPr>
        <w:t>5</w:t>
      </w:r>
      <w:r w:rsidR="002516CF" w:rsidRPr="002516CF">
        <w:rPr>
          <w:rFonts w:ascii="Times New Roman" w:hAnsi="Times New Roman"/>
          <w:sz w:val="20"/>
          <w:szCs w:val="20"/>
          <w:lang w:val="en-US" w:eastAsia="en-US"/>
        </w:rPr>
        <w:t>).</w:t>
      </w:r>
      <w:r>
        <w:rPr>
          <w:rFonts w:ascii="Times New Roman" w:hAnsi="Times New Roman"/>
          <w:sz w:val="20"/>
          <w:szCs w:val="20"/>
          <w:lang w:val="en-US" w:eastAsia="en-US"/>
        </w:rPr>
        <w:t xml:space="preserve"> Hence H matrix design is not of concern in determining the range of sizes and rates that should be defined for LDPC of NR. Other considerations, especially implementation complexity analysis, should be the determining factor.</w:t>
      </w:r>
    </w:p>
    <w:p w14:paraId="2D1923A4" w14:textId="77777777" w:rsidR="002516CF" w:rsidRPr="002516CF" w:rsidRDefault="002516CF" w:rsidP="002516CF">
      <w:pPr>
        <w:pStyle w:val="ListParagraph"/>
        <w:ind w:left="1440"/>
        <w:rPr>
          <w:rFonts w:ascii="Times New Roman" w:hAnsi="Times New Roman"/>
          <w:sz w:val="20"/>
          <w:szCs w:val="20"/>
          <w:lang w:val="en-US" w:eastAsia="en-US"/>
        </w:rPr>
      </w:pPr>
    </w:p>
    <w:p w14:paraId="45547CDE" w14:textId="1E78720D" w:rsidR="00654B17" w:rsidRDefault="00654B17" w:rsidP="004368CF">
      <w:pPr>
        <w:pStyle w:val="BodyText"/>
      </w:pPr>
    </w:p>
    <w:p w14:paraId="27722615" w14:textId="77777777" w:rsidR="004368CF" w:rsidRDefault="004368CF" w:rsidP="004368CF">
      <w:pPr>
        <w:pStyle w:val="Heading2"/>
        <w:tabs>
          <w:tab w:val="clear" w:pos="3447"/>
        </w:tabs>
        <w:ind w:left="540"/>
      </w:pPr>
      <w:r>
        <w:t>Granularity of Code Sizes</w:t>
      </w:r>
    </w:p>
    <w:p w14:paraId="612BC2AD" w14:textId="77777777" w:rsidR="004368CF" w:rsidRDefault="004368CF" w:rsidP="004368CF">
      <w:pPr>
        <w:pStyle w:val="BodyText"/>
      </w:pPr>
      <w:r>
        <w:t xml:space="preserve">The entries in </w:t>
      </w:r>
      <m:oMath>
        <m:sSub>
          <m:sSubPr>
            <m:ctrlPr>
              <w:rPr>
                <w:rFonts w:ascii="Cambria Math" w:hAnsi="Cambria Math"/>
                <w:i/>
              </w:rPr>
            </m:ctrlPr>
          </m:sSubPr>
          <m:e>
            <m:r>
              <w:rPr>
                <w:rFonts w:ascii="Cambria Math" w:hAnsi="Cambria Math"/>
              </w:rPr>
              <m:t>H</m:t>
            </m:r>
          </m:e>
          <m:sub>
            <m:r>
              <w:rPr>
                <w:rFonts w:ascii="Cambria Math" w:hAnsi="Cambria Math"/>
              </w:rPr>
              <m:t>prot</m:t>
            </m:r>
          </m:sub>
        </m:sSub>
      </m:oMath>
      <w:r>
        <w:t xml:space="preserve"> corresponding to non-zero sub-blocks take values between 0 and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t xml:space="preserve"> = 168. To generate shorter codes the matrix can be lifted using smaller values </w:t>
      </w:r>
      <w:proofErr w:type="gramStart"/>
      <w:r>
        <w:t xml:space="preserve">of </w:t>
      </w:r>
      <w:proofErr w:type="gramEnd"/>
      <m:oMath>
        <m:r>
          <w:rPr>
            <w:rFonts w:ascii="Cambria Math" w:hAnsi="Cambria Math"/>
          </w:rPr>
          <m:t>Z</m:t>
        </m:r>
      </m:oMath>
      <w:r>
        <w:t xml:space="preserve">. To find the base matrix </w:t>
      </w:r>
      <m:oMath>
        <m:sSub>
          <m:sSubPr>
            <m:ctrlPr>
              <w:rPr>
                <w:rFonts w:ascii="Cambria Math" w:hAnsi="Cambria Math"/>
                <w:i/>
              </w:rPr>
            </m:ctrlPr>
          </m:sSubPr>
          <m:e>
            <m:r>
              <w:rPr>
                <w:rFonts w:ascii="Cambria Math" w:hAnsi="Cambria Math"/>
              </w:rPr>
              <m:t>H</m:t>
            </m:r>
          </m:e>
          <m:sub>
            <m:r>
              <w:rPr>
                <w:rFonts w:ascii="Cambria Math" w:hAnsi="Cambria Math"/>
              </w:rPr>
              <m:t>Z</m:t>
            </m:r>
          </m:sub>
        </m:sSub>
      </m:oMath>
      <w:r>
        <w:t xml:space="preserve"> for a smaller </w:t>
      </w:r>
      <w:r w:rsidRPr="008B484B">
        <w:t>Z</w:t>
      </w:r>
      <w:r>
        <w:t xml:space="preserve"> the following formula is used:</w:t>
      </w:r>
    </w:p>
    <w:p w14:paraId="66D858E3" w14:textId="77777777" w:rsidR="004368CF" w:rsidRDefault="00CC02E0" w:rsidP="004368CF">
      <w:pPr>
        <w:pStyle w:val="BodyText"/>
        <w:jc w:val="center"/>
      </w:pPr>
      <m:oMathPara>
        <m:oMath>
          <m:sSub>
            <m:sSubPr>
              <m:ctrlPr>
                <w:rPr>
                  <w:rFonts w:ascii="Cambria Math" w:hAnsi="Cambria Math"/>
                  <w:i/>
                </w:rPr>
              </m:ctrlPr>
            </m:sSubPr>
            <m:e>
              <m:r>
                <w:rPr>
                  <w:rFonts w:ascii="Cambria Math" w:hAnsi="Cambria Math"/>
                </w:rPr>
                <m:t>H</m:t>
              </m:r>
            </m:e>
            <m:sub>
              <m:r>
                <w:rPr>
                  <w:rFonts w:ascii="Cambria Math" w:hAnsi="Cambria Math"/>
                </w:rPr>
                <m:t>Z</m:t>
              </m:r>
            </m:sub>
          </m:sSub>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Z</m:t>
                          </m:r>
                        </m:e>
                        <m:sub>
                          <m:r>
                            <w:rPr>
                              <w:rFonts w:ascii="Cambria Math" w:hAnsi="Cambria Math"/>
                            </w:rPr>
                            <m:t>max</m:t>
                          </m:r>
                        </m:sub>
                      </m:sSub>
                    </m:sub>
                  </m:sSub>
                  <m:r>
                    <w:rPr>
                      <w:rFonts w:ascii="Cambria Math" w:hAnsi="Cambria Math"/>
                    </w:rPr>
                    <m:t>(i,j),  &amp;</m:t>
                  </m:r>
                  <m:sSub>
                    <m:sSubPr>
                      <m:ctrlPr>
                        <w:rPr>
                          <w:rFonts w:ascii="Cambria Math" w:hAnsi="Cambria Math"/>
                          <w:i/>
                        </w:rPr>
                      </m:ctrlPr>
                    </m:sSubPr>
                    <m:e>
                      <m:r>
                        <m:rPr>
                          <m:nor/>
                        </m:rPr>
                        <w:rPr>
                          <w:rFonts w:ascii="Cambria Math" w:hAnsi="Cambria Math"/>
                        </w:rPr>
                        <m:t xml:space="preserve">if </m:t>
                      </m:r>
                      <m:r>
                        <w:rPr>
                          <w:rFonts w:ascii="Cambria Math" w:hAnsi="Cambria Math"/>
                        </w:rPr>
                        <m:t>H</m:t>
                      </m:r>
                    </m:e>
                    <m:sub>
                      <m:sSub>
                        <m:sSubPr>
                          <m:ctrlPr>
                            <w:rPr>
                              <w:rFonts w:ascii="Cambria Math" w:hAnsi="Cambria Math"/>
                              <w:i/>
                            </w:rPr>
                          </m:ctrlPr>
                        </m:sSubPr>
                        <m:e>
                          <m:r>
                            <w:rPr>
                              <w:rFonts w:ascii="Cambria Math" w:hAnsi="Cambria Math"/>
                            </w:rPr>
                            <m:t>Z</m:t>
                          </m:r>
                        </m:e>
                        <m:sub>
                          <m:r>
                            <w:rPr>
                              <w:rFonts w:ascii="Cambria Math" w:hAnsi="Cambria Math"/>
                            </w:rPr>
                            <m:t>max</m:t>
                          </m:r>
                        </m:sub>
                      </m:sSub>
                    </m:sub>
                  </m:sSub>
                  <m:d>
                    <m:dPr>
                      <m:ctrlPr>
                        <w:rPr>
                          <w:rFonts w:ascii="Cambria Math" w:hAnsi="Cambria Math"/>
                          <w:i/>
                        </w:rPr>
                      </m:ctrlPr>
                    </m:dPr>
                    <m:e>
                      <m:r>
                        <w:rPr>
                          <w:rFonts w:ascii="Cambria Math" w:hAnsi="Cambria Math"/>
                        </w:rPr>
                        <m:t>i,j</m:t>
                      </m:r>
                    </m:e>
                  </m:d>
                  <m:r>
                    <w:rPr>
                      <w:rFonts w:ascii="Cambria Math" w:hAnsi="Cambria Math"/>
                    </w:rPr>
                    <m:t>&lt;Z</m:t>
                  </m:r>
                </m:e>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Z</m:t>
                                  </m:r>
                                </m:e>
                                <m:sub>
                                  <m:r>
                                    <w:rPr>
                                      <w:rFonts w:ascii="Cambria Math" w:hAnsi="Cambria Math"/>
                                    </w:rPr>
                                    <m:t>max</m:t>
                                  </m:r>
                                </m:sub>
                              </m:sSub>
                            </m:sub>
                          </m:sSub>
                          <m:d>
                            <m:dPr>
                              <m:ctrlPr>
                                <w:rPr>
                                  <w:rFonts w:ascii="Cambria Math" w:hAnsi="Cambria Math"/>
                                  <w:i/>
                                </w:rPr>
                              </m:ctrlPr>
                            </m:dPr>
                            <m:e>
                              <m:r>
                                <w:rPr>
                                  <w:rFonts w:ascii="Cambria Math" w:hAnsi="Cambria Math"/>
                                </w:rPr>
                                <m:t>i,j</m:t>
                              </m:r>
                            </m:e>
                          </m:d>
                        </m:num>
                        <m:den>
                          <m:sSup>
                            <m:sSupPr>
                              <m:ctrlPr>
                                <w:rPr>
                                  <w:rFonts w:ascii="Cambria Math" w:hAnsi="Cambria Math"/>
                                  <w:i/>
                                </w:rPr>
                              </m:ctrlPr>
                            </m:sSupPr>
                            <m:e>
                              <m:r>
                                <w:rPr>
                                  <w:rFonts w:ascii="Cambria Math" w:hAnsi="Cambria Math"/>
                                </w:rPr>
                                <m:t>2</m:t>
                              </m:r>
                            </m:e>
                            <m:sup>
                              <m:r>
                                <w:rPr>
                                  <w:rFonts w:ascii="Cambria Math" w:hAnsi="Cambria Math"/>
                                </w:rPr>
                                <m:t>t</m:t>
                              </m:r>
                            </m:sup>
                          </m:sSup>
                        </m:den>
                      </m:f>
                    </m:e>
                  </m:d>
                  <m:r>
                    <w:rPr>
                      <w:rFonts w:ascii="Cambria Math" w:hAnsi="Cambria Math"/>
                    </w:rPr>
                    <m:t xml:space="preserve">,  </m:t>
                  </m:r>
                  <m:r>
                    <m:rPr>
                      <m:nor/>
                    </m:rPr>
                    <w:rPr>
                      <w:rFonts w:ascii="Cambria Math" w:hAnsi="Cambria Math"/>
                    </w:rPr>
                    <m:t>otherwise,</m:t>
                  </m:r>
                </m:e>
              </m:eqArr>
            </m:e>
          </m:d>
        </m:oMath>
      </m:oMathPara>
    </w:p>
    <w:p w14:paraId="14D6E7D7" w14:textId="77777777" w:rsidR="004368CF" w:rsidRDefault="004368CF" w:rsidP="004368CF">
      <w:pPr>
        <w:pStyle w:val="BodyText"/>
      </w:pPr>
      <w:r>
        <w:t xml:space="preserve">where </w:t>
      </w:r>
      <m:oMath>
        <m:r>
          <w:rPr>
            <w:rFonts w:ascii="Cambria Math" w:hAnsi="Cambria Math"/>
          </w:rPr>
          <m:t xml:space="preserve">t= </m:t>
        </m:r>
        <m:d>
          <m:dPr>
            <m:begChr m:val="⌈"/>
            <m:endChr m:val="⌉"/>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max</m:t>
                    </m:r>
                  </m:sub>
                </m:sSub>
              </m:num>
              <m:den>
                <m:r>
                  <w:rPr>
                    <w:rFonts w:ascii="Cambria Math" w:hAnsi="Cambria Math"/>
                  </w:rPr>
                  <m:t>Z</m:t>
                </m:r>
              </m:den>
            </m:f>
          </m:e>
        </m:d>
        <m:r>
          <w:rPr>
            <w:rFonts w:ascii="Cambria Math" w:hAnsi="Cambria Math"/>
          </w:rPr>
          <m:t>.</m:t>
        </m:r>
      </m:oMath>
      <w:r>
        <w:t xml:space="preserve"> If an entry is larger than </w:t>
      </w:r>
      <m:oMath>
        <m:r>
          <w:rPr>
            <w:rFonts w:ascii="Cambria Math" w:hAnsi="Cambria Math"/>
          </w:rPr>
          <m:t>Z</m:t>
        </m:r>
      </m:oMath>
      <w:r>
        <w:t xml:space="preserve">, this is equivalent to the right shift of the binary representation of </w:t>
      </w:r>
      <m:oMath>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Z</m:t>
                </m:r>
              </m:e>
              <m:sub>
                <m:r>
                  <w:rPr>
                    <w:rFonts w:ascii="Cambria Math" w:hAnsi="Cambria Math"/>
                  </w:rPr>
                  <m:t>max</m:t>
                </m:r>
              </m:sub>
            </m:sSub>
          </m:sub>
        </m:sSub>
        <m:r>
          <w:rPr>
            <w:rFonts w:ascii="Cambria Math" w:hAnsi="Cambria Math"/>
          </w:rPr>
          <m:t>(i,j)</m:t>
        </m:r>
      </m:oMath>
      <w:r>
        <w:t xml:space="preserve"> by </w:t>
      </w:r>
      <m:oMath>
        <m:r>
          <w:rPr>
            <w:rFonts w:ascii="Cambria Math" w:hAnsi="Cambria Math"/>
          </w:rPr>
          <m:t>t</m:t>
        </m:r>
      </m:oMath>
      <w:r>
        <w:t xml:space="preserve"> steps.</w:t>
      </w:r>
    </w:p>
    <w:p w14:paraId="1388E1C0" w14:textId="7F05C126" w:rsidR="004368CF" w:rsidRDefault="004368CF" w:rsidP="004368CF">
      <w:pPr>
        <w:pStyle w:val="BodyText"/>
      </w:pPr>
      <w:r>
        <w:t xml:space="preserve">The different values of </w:t>
      </w:r>
      <m:oMath>
        <m:r>
          <w:rPr>
            <w:rFonts w:ascii="Cambria Math" w:hAnsi="Cambria Math"/>
          </w:rPr>
          <m:t>Z</m:t>
        </m:r>
      </m:oMath>
      <w:r>
        <w:t xml:space="preserve"> are {21, 42, 84, 128, 168}, corresponding to information block sizes of </w:t>
      </w:r>
      <m:oMath>
        <m:r>
          <w:rPr>
            <w:rFonts w:ascii="Cambria Math" w:hAnsi="Cambria Math"/>
          </w:rPr>
          <m:t>k</m:t>
        </m:r>
      </m:oMath>
      <w:proofErr w:type="gramStart"/>
      <w:r>
        <w:t>={</w:t>
      </w:r>
      <w:proofErr w:type="gramEnd"/>
      <w:r>
        <w:t>1008, 2016, 4032, 6144, 8064}. For finer granularity in k, shortening can be employed.</w:t>
      </w:r>
    </w:p>
    <w:p w14:paraId="6158540E" w14:textId="789A6BC0" w:rsidR="00D95245" w:rsidRDefault="00D95245" w:rsidP="004368CF">
      <w:pPr>
        <w:pStyle w:val="BodyText"/>
      </w:pPr>
      <w:r>
        <w:t>The simulation study shown here proves that the shift size derivation above is useful in deriving H matrices for multiple Z.</w:t>
      </w:r>
    </w:p>
    <w:p w14:paraId="1BC04E59" w14:textId="3998CE3A" w:rsidR="00D95245" w:rsidRDefault="00D95245" w:rsidP="00D95245">
      <w:pPr>
        <w:pStyle w:val="BodyText"/>
        <w:numPr>
          <w:ilvl w:val="0"/>
          <w:numId w:val="8"/>
        </w:numPr>
        <w:rPr>
          <w:rFonts w:ascii="Arial" w:hAnsi="Arial" w:cs="Arial"/>
          <w:b/>
        </w:rPr>
      </w:pPr>
      <w:r w:rsidRPr="00D95245">
        <w:rPr>
          <w:rFonts w:ascii="Arial" w:hAnsi="Arial" w:cs="Arial"/>
          <w:b/>
        </w:rPr>
        <w:t xml:space="preserve">A Simple shift of binary representation of shift sizes </w:t>
      </w:r>
      <w:r w:rsidR="001177C6">
        <w:rPr>
          <w:rFonts w:ascii="Arial" w:hAnsi="Arial" w:cs="Arial"/>
          <w:b/>
        </w:rPr>
        <w:t xml:space="preserve">of </w:t>
      </w:r>
      <w:proofErr w:type="spellStart"/>
      <w:r w:rsidR="001177C6">
        <w:rPr>
          <w:rFonts w:ascii="Arial" w:hAnsi="Arial" w:cs="Arial"/>
          <w:b/>
        </w:rPr>
        <w:t>Zmax</w:t>
      </w:r>
      <w:proofErr w:type="spellEnd"/>
      <w:r w:rsidR="001177C6">
        <w:rPr>
          <w:rFonts w:ascii="Arial" w:hAnsi="Arial" w:cs="Arial"/>
          <w:b/>
        </w:rPr>
        <w:t xml:space="preserve"> </w:t>
      </w:r>
      <w:r w:rsidRPr="00D95245">
        <w:rPr>
          <w:rFonts w:ascii="Arial" w:hAnsi="Arial" w:cs="Arial"/>
          <w:b/>
        </w:rPr>
        <w:t>can be used to generate a family of H ma</w:t>
      </w:r>
      <w:r>
        <w:rPr>
          <w:rFonts w:ascii="Arial" w:hAnsi="Arial" w:cs="Arial"/>
          <w:b/>
        </w:rPr>
        <w:t>trices of various lifting sizes</w:t>
      </w:r>
      <w:r w:rsidR="001177C6">
        <w:rPr>
          <w:rFonts w:ascii="Arial" w:hAnsi="Arial" w:cs="Arial"/>
          <w:b/>
        </w:rPr>
        <w:t xml:space="preserve"> Z</w:t>
      </w:r>
      <w:r>
        <w:rPr>
          <w:rFonts w:ascii="Arial" w:hAnsi="Arial" w:cs="Arial"/>
          <w:b/>
        </w:rPr>
        <w:t>.</w:t>
      </w:r>
    </w:p>
    <w:p w14:paraId="0601682D" w14:textId="77777777" w:rsidR="004368CF" w:rsidRDefault="004368CF" w:rsidP="004368CF">
      <w:pPr>
        <w:pStyle w:val="BodyText"/>
      </w:pPr>
    </w:p>
    <w:p w14:paraId="7F063001" w14:textId="77777777" w:rsidR="004368CF" w:rsidRPr="003279AF" w:rsidRDefault="004368CF" w:rsidP="004368CF">
      <w:pPr>
        <w:pStyle w:val="Heading1"/>
      </w:pPr>
      <w:r w:rsidRPr="003279AF">
        <w:t xml:space="preserve">LDPC </w:t>
      </w:r>
      <w:r>
        <w:t>C</w:t>
      </w:r>
      <w:r w:rsidRPr="003279AF">
        <w:t>ode</w:t>
      </w:r>
      <w:r>
        <w:t xml:space="preserve"> Performance</w:t>
      </w:r>
    </w:p>
    <w:p w14:paraId="2B6C9644" w14:textId="77777777" w:rsidR="004368CF" w:rsidRDefault="004368CF" w:rsidP="004368CF">
      <w:pPr>
        <w:pStyle w:val="BodyText"/>
      </w:pPr>
      <w:r>
        <w:t xml:space="preserve">The constructed H matrices are simulated for code rates ranging from 1/5 to 8/9.  For easy calibration, we used the sum-product algorithm with flooding schedule, running a fixed number of 30 iterations. </w:t>
      </w:r>
    </w:p>
    <w:p w14:paraId="7FCD8AF0" w14:textId="77777777" w:rsidR="004368CF" w:rsidRDefault="004368CF" w:rsidP="004368CF">
      <w:pPr>
        <w:pStyle w:val="BodyText"/>
      </w:pPr>
      <w:r>
        <w:t xml:space="preserve">As shown in </w:t>
      </w:r>
      <w:r>
        <w:fldChar w:fldCharType="begin"/>
      </w:r>
      <w:r>
        <w:instrText xml:space="preserve"> REF _Ref458716822 \r </w:instrText>
      </w:r>
      <w:r>
        <w:fldChar w:fldCharType="separate"/>
      </w:r>
      <w:r>
        <w:t>[11]</w:t>
      </w:r>
      <w:r>
        <w:fldChar w:fldCharType="end"/>
      </w:r>
      <w:r>
        <w:t>, the performance of LDPC codes is strongly affected by how the sum-product algorithm is approximated, and the number of decoding iterations. The performance shown in this section shall be considered the upper bound of the LDPC decoding performance. Performance degradation is expected when a low-complexity implementation, such as min-sum or min-sum with adjustment, is used, see [7</w:t>
      </w:r>
      <w:proofErr w:type="gramStart"/>
      <w:r>
        <w:t>][</w:t>
      </w:r>
      <w:proofErr w:type="gramEnd"/>
      <w:r>
        <w:t>8][11]. When comparing LDPC performance with turbo code performance, the sum-product performance shown here should not be used. Instead curves produced by min-sum (possibly with adjustment) should be used for comparison between two code types.</w:t>
      </w:r>
    </w:p>
    <w:p w14:paraId="1917AB9E" w14:textId="77777777" w:rsidR="00E42D3A" w:rsidRDefault="004368CF" w:rsidP="004368CF">
      <w:pPr>
        <w:pStyle w:val="BodyText"/>
      </w:pPr>
      <w:r>
        <w:t xml:space="preserve">In general, it is more difficult to approach optimal sum-product decoding performance at low code rates (e.g., R&lt;1/2) than at high code rate. At low code rate, a higher complexity BP approximation, </w:t>
      </w:r>
      <w:r w:rsidR="00E42D3A">
        <w:t xml:space="preserve">such as </w:t>
      </w:r>
      <w:r>
        <w:sym w:font="Symbol" w:char="F06C"/>
      </w:r>
      <w:r>
        <w:t xml:space="preserve">-3-min, is required to achieve reasonably good LDPC decoding </w:t>
      </w:r>
      <w:r w:rsidR="00E42D3A">
        <w:t>performance.</w:t>
      </w:r>
    </w:p>
    <w:p w14:paraId="0B580A08" w14:textId="6675E53B" w:rsidR="004368CF" w:rsidRDefault="00E42D3A" w:rsidP="004368CF">
      <w:pPr>
        <w:pStyle w:val="BodyText"/>
      </w:pPr>
      <w:r>
        <w:t xml:space="preserve">We compare our LDPC Performance with the Turbo codes </w:t>
      </w:r>
      <w:r w:rsidR="001177C6">
        <w:t>performance</w:t>
      </w:r>
      <w:r>
        <w:t xml:space="preserve"> The Turbo codes were simulated using the </w:t>
      </w:r>
      <w:r w:rsidRPr="00C56264">
        <w:t>max-log-map</w:t>
      </w:r>
      <w:r>
        <w:t xml:space="preserve"> approximation with a 0.75 scaling factor and 8 Turbo iterations</w:t>
      </w:r>
      <w:r w:rsidR="004368CF">
        <w:t xml:space="preserve">   </w:t>
      </w:r>
    </w:p>
    <w:p w14:paraId="380D9F92" w14:textId="2E7C4E75" w:rsidR="002516CF" w:rsidRDefault="002516CF" w:rsidP="004368CF">
      <w:pPr>
        <w:pStyle w:val="BodyText"/>
      </w:pPr>
      <w:r>
        <w:t>Taking the above discussion and the simulation results below into account we observe:</w:t>
      </w:r>
    </w:p>
    <w:p w14:paraId="3B7A91D6" w14:textId="54B948D5" w:rsidR="00D95245" w:rsidRDefault="00D95245" w:rsidP="00D95245">
      <w:pPr>
        <w:pStyle w:val="BodyText"/>
        <w:numPr>
          <w:ilvl w:val="0"/>
          <w:numId w:val="8"/>
        </w:numPr>
        <w:rPr>
          <w:rFonts w:ascii="Arial" w:hAnsi="Arial" w:cs="Arial"/>
          <w:b/>
        </w:rPr>
      </w:pPr>
      <w:r w:rsidRPr="00D95245">
        <w:rPr>
          <w:rFonts w:ascii="Arial" w:hAnsi="Arial" w:cs="Arial"/>
          <w:b/>
        </w:rPr>
        <w:t>LDPC codes are competitive with Turbo codes at high code rates, but perform worse at low code rates.</w:t>
      </w:r>
    </w:p>
    <w:p w14:paraId="3E316929" w14:textId="4495522C" w:rsidR="004368CF" w:rsidRDefault="00AC161C" w:rsidP="004368CF">
      <w:pPr>
        <w:pStyle w:val="BodyText"/>
        <w:jc w:val="center"/>
        <w:rPr>
          <w:noProof/>
          <w:lang w:eastAsia="zh-CN"/>
        </w:rPr>
      </w:pPr>
      <w:r w:rsidRPr="003B7A5C">
        <w:rPr>
          <w:noProof/>
          <w:lang w:eastAsia="zh-CN"/>
        </w:rPr>
        <w:lastRenderedPageBreak/>
        <w:drawing>
          <wp:inline distT="0" distB="0" distL="0" distR="0" wp14:anchorId="2F7E4651" wp14:editId="1A5C4D39">
            <wp:extent cx="4933950" cy="3105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33950" cy="3105150"/>
                    </a:xfrm>
                    <a:prstGeom prst="rect">
                      <a:avLst/>
                    </a:prstGeom>
                    <a:noFill/>
                    <a:ln>
                      <a:noFill/>
                    </a:ln>
                  </pic:spPr>
                </pic:pic>
              </a:graphicData>
            </a:graphic>
          </wp:inline>
        </w:drawing>
      </w:r>
      <w:r w:rsidRPr="00AC161C">
        <w:rPr>
          <w:noProof/>
          <w:lang w:eastAsia="zh-CN"/>
        </w:rPr>
        <w:drawing>
          <wp:inline distT="0" distB="0" distL="0" distR="0" wp14:anchorId="5EDF9495" wp14:editId="71D2F1DB">
            <wp:extent cx="5324475" cy="3990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89C25AF" w14:textId="629C99B1" w:rsidR="004368CF" w:rsidRDefault="001F45D5" w:rsidP="004368CF">
      <w:pPr>
        <w:pStyle w:val="BodyText"/>
        <w:jc w:val="center"/>
        <w:rPr>
          <w:noProof/>
          <w:lang w:eastAsia="zh-CN"/>
        </w:rPr>
      </w:pPr>
      <w:r w:rsidRPr="001F45D5">
        <w:rPr>
          <w:noProof/>
          <w:lang w:eastAsia="zh-CN"/>
        </w:rPr>
        <w:lastRenderedPageBreak/>
        <w:drawing>
          <wp:inline distT="0" distB="0" distL="0" distR="0" wp14:anchorId="52D3328F" wp14:editId="40E314AA">
            <wp:extent cx="5324475" cy="39909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95E719B" w14:textId="460CB501" w:rsidR="004368CF" w:rsidRDefault="001F45D5" w:rsidP="004368CF">
      <w:pPr>
        <w:pStyle w:val="BodyText"/>
        <w:jc w:val="center"/>
      </w:pPr>
      <w:r w:rsidRPr="001F45D5">
        <w:rPr>
          <w:noProof/>
          <w:lang w:eastAsia="zh-CN"/>
        </w:rPr>
        <w:lastRenderedPageBreak/>
        <w:drawing>
          <wp:inline distT="0" distB="0" distL="0" distR="0" wp14:anchorId="1B05FB7D" wp14:editId="4262828A">
            <wp:extent cx="5324475" cy="399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1F45D5">
        <w:rPr>
          <w:noProof/>
          <w:lang w:eastAsia="zh-CN"/>
        </w:rPr>
        <w:drawing>
          <wp:inline distT="0" distB="0" distL="0" distR="0" wp14:anchorId="34A0DEAB" wp14:editId="2DF0604A">
            <wp:extent cx="5324475" cy="39909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431A2A" w:rsidRPr="00431A2A">
        <w:rPr>
          <w:noProof/>
          <w:lang w:eastAsia="zh-CN"/>
        </w:rPr>
        <w:lastRenderedPageBreak/>
        <w:drawing>
          <wp:inline distT="0" distB="0" distL="0" distR="0" wp14:anchorId="04876864" wp14:editId="3471A722">
            <wp:extent cx="5324475" cy="39909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73928A3" w14:textId="77777777" w:rsidR="004368CF" w:rsidRDefault="004368CF" w:rsidP="004368CF">
      <w:pPr>
        <w:pStyle w:val="BodyText"/>
        <w:jc w:val="center"/>
      </w:pPr>
      <w:r w:rsidRPr="00DC1CDF">
        <w:t xml:space="preserve">Figure </w:t>
      </w:r>
      <w:r w:rsidRPr="00471F75">
        <w:fldChar w:fldCharType="begin"/>
      </w:r>
      <w:r w:rsidRPr="00DC1CDF">
        <w:instrText xml:space="preserve"> SEQ Figure \* ARABIC </w:instrText>
      </w:r>
      <w:r w:rsidRPr="00471F75">
        <w:fldChar w:fldCharType="separate"/>
      </w:r>
      <w:r>
        <w:rPr>
          <w:noProof/>
        </w:rPr>
        <w:t>1</w:t>
      </w:r>
      <w:r w:rsidRPr="00471F75">
        <w:fldChar w:fldCharType="end"/>
      </w:r>
      <w:r w:rsidRPr="005349CC">
        <w:t>.</w:t>
      </w:r>
      <w:r>
        <w:t xml:space="preserve"> LDPC code performance.</w:t>
      </w:r>
    </w:p>
    <w:p w14:paraId="16D8F38C" w14:textId="03177DE1" w:rsidR="004368CF" w:rsidRDefault="00431A2A" w:rsidP="004368CF">
      <w:pPr>
        <w:pStyle w:val="BodyText"/>
      </w:pPr>
      <w:r w:rsidRPr="00431A2A">
        <w:rPr>
          <w:noProof/>
          <w:lang w:eastAsia="zh-CN"/>
        </w:rPr>
        <w:lastRenderedPageBreak/>
        <w:drawing>
          <wp:inline distT="0" distB="0" distL="0" distR="0" wp14:anchorId="461F29E9" wp14:editId="19B4EA2D">
            <wp:extent cx="5303520" cy="40233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03520" cy="4023360"/>
                    </a:xfrm>
                    <a:prstGeom prst="rect">
                      <a:avLst/>
                    </a:prstGeom>
                    <a:noFill/>
                    <a:ln>
                      <a:noFill/>
                    </a:ln>
                  </pic:spPr>
                </pic:pic>
              </a:graphicData>
            </a:graphic>
          </wp:inline>
        </w:drawing>
      </w:r>
      <w:r w:rsidR="004368CF" w:rsidRPr="00DE286E">
        <w:rPr>
          <w:noProof/>
          <w:lang w:eastAsia="zh-CN"/>
        </w:rPr>
        <w:drawing>
          <wp:inline distT="0" distB="0" distL="0" distR="0" wp14:anchorId="2F3C9FE8" wp14:editId="43CF4A91">
            <wp:extent cx="5324475" cy="39909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100C5F" w:rsidRPr="00100C5F">
        <w:rPr>
          <w:noProof/>
          <w:lang w:eastAsia="zh-CN"/>
        </w:rPr>
        <w:lastRenderedPageBreak/>
        <w:drawing>
          <wp:inline distT="0" distB="0" distL="0" distR="0" wp14:anchorId="449C9D6C" wp14:editId="6CC1F644">
            <wp:extent cx="5324475" cy="3990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C03FEC7" w14:textId="77777777" w:rsidR="004368CF" w:rsidRPr="003279AF" w:rsidRDefault="004368CF" w:rsidP="004368CF">
      <w:pPr>
        <w:pStyle w:val="BodyText"/>
      </w:pPr>
    </w:p>
    <w:p w14:paraId="6051E59E" w14:textId="77777777" w:rsidR="004368CF" w:rsidRDefault="004368CF" w:rsidP="004368CF">
      <w:pPr>
        <w:pStyle w:val="Heading1"/>
      </w:pPr>
      <w:r>
        <w:t>Conclusion</w:t>
      </w:r>
    </w:p>
    <w:p w14:paraId="40E2C99F" w14:textId="77777777" w:rsidR="004368CF" w:rsidRDefault="004368CF" w:rsidP="004368CF"/>
    <w:p w14:paraId="575DAFD4" w14:textId="008E34F2" w:rsidR="004368CF" w:rsidRDefault="004368CF" w:rsidP="004368CF">
      <w:r>
        <w:t xml:space="preserve">In this contribution, we </w:t>
      </w:r>
      <w:r w:rsidR="001177C6">
        <w:t xml:space="preserve">present a set of LDPC codes designed according to simulation assumption of </w:t>
      </w:r>
      <w:proofErr w:type="spellStart"/>
      <w:r w:rsidR="001177C6">
        <w:t>eMBB</w:t>
      </w:r>
      <w:proofErr w:type="spellEnd"/>
      <w:r w:rsidR="001177C6">
        <w:t xml:space="preserve"> for NR. </w:t>
      </w:r>
      <w:r>
        <w:t xml:space="preserve"> Based on the discussion, we have the following </w:t>
      </w:r>
      <w:r w:rsidR="008C23AE">
        <w:t>observations</w:t>
      </w:r>
      <w:bookmarkStart w:id="4" w:name="_GoBack"/>
      <w:bookmarkEnd w:id="4"/>
      <w:r>
        <w:t>:</w:t>
      </w:r>
    </w:p>
    <w:p w14:paraId="402F3467" w14:textId="77777777" w:rsidR="004368CF" w:rsidRDefault="004368CF" w:rsidP="004368CF"/>
    <w:p w14:paraId="62974B38" w14:textId="3B30CE37" w:rsidR="001177C6" w:rsidRDefault="001177C6" w:rsidP="001177C6">
      <w:pPr>
        <w:pStyle w:val="BodyText"/>
        <w:numPr>
          <w:ilvl w:val="0"/>
          <w:numId w:val="11"/>
        </w:numPr>
        <w:rPr>
          <w:rFonts w:ascii="Arial" w:hAnsi="Arial" w:cs="Arial"/>
          <w:b/>
        </w:rPr>
      </w:pPr>
      <w:r w:rsidRPr="00D95245">
        <w:rPr>
          <w:rFonts w:ascii="Arial" w:hAnsi="Arial" w:cs="Arial"/>
          <w:b/>
        </w:rPr>
        <w:t xml:space="preserve">A Simple shift of binary representation of shift sizes </w:t>
      </w:r>
      <w:r>
        <w:rPr>
          <w:rFonts w:ascii="Arial" w:hAnsi="Arial" w:cs="Arial"/>
          <w:b/>
        </w:rPr>
        <w:t xml:space="preserve">of </w:t>
      </w:r>
      <w:proofErr w:type="spellStart"/>
      <w:r>
        <w:rPr>
          <w:rFonts w:ascii="Arial" w:hAnsi="Arial" w:cs="Arial"/>
          <w:b/>
        </w:rPr>
        <w:t>Zmax</w:t>
      </w:r>
      <w:proofErr w:type="spellEnd"/>
      <w:r>
        <w:rPr>
          <w:rFonts w:ascii="Arial" w:hAnsi="Arial" w:cs="Arial"/>
          <w:b/>
        </w:rPr>
        <w:t xml:space="preserve"> </w:t>
      </w:r>
      <w:r w:rsidRPr="00D95245">
        <w:rPr>
          <w:rFonts w:ascii="Arial" w:hAnsi="Arial" w:cs="Arial"/>
          <w:b/>
        </w:rPr>
        <w:t>can be used to generate a family of H ma</w:t>
      </w:r>
      <w:r>
        <w:rPr>
          <w:rFonts w:ascii="Arial" w:hAnsi="Arial" w:cs="Arial"/>
          <w:b/>
        </w:rPr>
        <w:t>trices of various lifting sizes Z.</w:t>
      </w:r>
    </w:p>
    <w:p w14:paraId="465E6E7F" w14:textId="77777777" w:rsidR="001177C6" w:rsidRDefault="001177C6" w:rsidP="001177C6">
      <w:pPr>
        <w:pStyle w:val="BodyText"/>
        <w:numPr>
          <w:ilvl w:val="0"/>
          <w:numId w:val="11"/>
        </w:numPr>
        <w:rPr>
          <w:rFonts w:ascii="Arial" w:hAnsi="Arial" w:cs="Arial"/>
          <w:b/>
        </w:rPr>
      </w:pPr>
      <w:r w:rsidRPr="00D95245">
        <w:rPr>
          <w:rFonts w:ascii="Arial" w:hAnsi="Arial" w:cs="Arial"/>
          <w:b/>
        </w:rPr>
        <w:t>LDPC codes are competitive with Turbo codes at high code rates, but perform worse at low code rates.</w:t>
      </w:r>
    </w:p>
    <w:p w14:paraId="41AFF3D9" w14:textId="77777777" w:rsidR="004368CF" w:rsidRDefault="004368CF" w:rsidP="004368CF">
      <w:pPr>
        <w:pStyle w:val="Proposal"/>
        <w:numPr>
          <w:ilvl w:val="0"/>
          <w:numId w:val="0"/>
        </w:numPr>
        <w:ind w:left="1440"/>
      </w:pPr>
    </w:p>
    <w:p w14:paraId="162A99E9" w14:textId="77777777" w:rsidR="004368CF" w:rsidRDefault="004368CF" w:rsidP="004368CF"/>
    <w:p w14:paraId="7B5F3D75" w14:textId="77777777" w:rsidR="004368CF" w:rsidRPr="00A742FA" w:rsidRDefault="004368CF" w:rsidP="004368CF">
      <w:pPr>
        <w:pStyle w:val="Heading1"/>
        <w:tabs>
          <w:tab w:val="clear" w:pos="567"/>
          <w:tab w:val="num" w:pos="432"/>
        </w:tabs>
      </w:pPr>
      <w:r w:rsidRPr="00A742FA">
        <w:t>Reference</w:t>
      </w:r>
      <w:r>
        <w:t>s</w:t>
      </w:r>
    </w:p>
    <w:p w14:paraId="0FC5AC17" w14:textId="77777777" w:rsidR="004368CF" w:rsidRPr="00204D0C" w:rsidRDefault="004368CF" w:rsidP="004368CF">
      <w:pPr>
        <w:pStyle w:val="Reference"/>
        <w:tabs>
          <w:tab w:val="right" w:pos="9072"/>
        </w:tabs>
        <w:ind w:right="567"/>
        <w:rPr>
          <w:rFonts w:ascii="Times New Roman" w:hAnsi="Times New Roman"/>
        </w:rPr>
      </w:pPr>
      <w:bookmarkStart w:id="5" w:name="_Ref450037767"/>
      <w:bookmarkStart w:id="6" w:name="_Ref455414835"/>
      <w:bookmarkStart w:id="7" w:name="_Ref442441852"/>
      <w:bookmarkStart w:id="8" w:name="_Ref441562466"/>
      <w:r w:rsidRPr="00204D0C">
        <w:rPr>
          <w:rFonts w:ascii="Times New Roman" w:hAnsi="Times New Roman"/>
        </w:rPr>
        <w:t xml:space="preserve">Thorpe, J. (2003). Low-density parity-check (LDPC) codes constructed from </w:t>
      </w:r>
      <w:proofErr w:type="spellStart"/>
      <w:r w:rsidRPr="00204D0C">
        <w:rPr>
          <w:rFonts w:ascii="Times New Roman" w:hAnsi="Times New Roman"/>
        </w:rPr>
        <w:t>protographs</w:t>
      </w:r>
      <w:proofErr w:type="spellEnd"/>
      <w:r w:rsidRPr="00204D0C">
        <w:rPr>
          <w:rFonts w:ascii="Times New Roman" w:hAnsi="Times New Roman"/>
        </w:rPr>
        <w:t>. IPN progress report, 42(154), 42-154.</w:t>
      </w:r>
      <w:bookmarkEnd w:id="5"/>
    </w:p>
    <w:p w14:paraId="2D67A820" w14:textId="77777777" w:rsidR="004368CF" w:rsidRPr="00B3654A" w:rsidRDefault="004368CF" w:rsidP="004368CF">
      <w:pPr>
        <w:pStyle w:val="Reference"/>
        <w:tabs>
          <w:tab w:val="right" w:pos="9072"/>
        </w:tabs>
        <w:ind w:right="567"/>
        <w:rPr>
          <w:rFonts w:ascii="Times New Roman" w:hAnsi="Times New Roman"/>
        </w:rPr>
      </w:pPr>
      <w:bookmarkStart w:id="9" w:name="_Ref450038105"/>
      <w:r w:rsidRPr="00204D0C">
        <w:rPr>
          <w:rFonts w:ascii="Times New Roman" w:hAnsi="Times New Roman"/>
        </w:rPr>
        <w:t xml:space="preserve">T.-Y. Chen, K. </w:t>
      </w:r>
      <w:proofErr w:type="spellStart"/>
      <w:r w:rsidRPr="00204D0C">
        <w:rPr>
          <w:rFonts w:ascii="Times New Roman" w:hAnsi="Times New Roman"/>
        </w:rPr>
        <w:t>Vakilinia</w:t>
      </w:r>
      <w:proofErr w:type="spellEnd"/>
      <w:r w:rsidRPr="00204D0C">
        <w:rPr>
          <w:rFonts w:ascii="Times New Roman" w:hAnsi="Times New Roman"/>
        </w:rPr>
        <w:t xml:space="preserve">, D. </w:t>
      </w:r>
      <w:proofErr w:type="spellStart"/>
      <w:r w:rsidRPr="00204D0C">
        <w:rPr>
          <w:rFonts w:ascii="Times New Roman" w:hAnsi="Times New Roman"/>
        </w:rPr>
        <w:t>Divsalar</w:t>
      </w:r>
      <w:proofErr w:type="spellEnd"/>
      <w:r w:rsidRPr="00204D0C">
        <w:rPr>
          <w:rFonts w:ascii="Times New Roman" w:hAnsi="Times New Roman"/>
        </w:rPr>
        <w:t>, and R. D. Wesel, “</w:t>
      </w:r>
      <w:proofErr w:type="spellStart"/>
      <w:r w:rsidRPr="00204D0C">
        <w:rPr>
          <w:rFonts w:ascii="Times New Roman" w:hAnsi="Times New Roman"/>
        </w:rPr>
        <w:t>Protograph</w:t>
      </w:r>
      <w:proofErr w:type="spellEnd"/>
      <w:r w:rsidRPr="00204D0C">
        <w:rPr>
          <w:rFonts w:ascii="Times New Roman" w:hAnsi="Times New Roman"/>
        </w:rPr>
        <w:t xml:space="preserve">-Based Raptor-Like LDPC Codes”, </w:t>
      </w:r>
      <w:r w:rsidRPr="00204D0C">
        <w:rPr>
          <w:rFonts w:ascii="Times New Roman" w:hAnsi="Times New Roman"/>
          <w:lang w:val="en-US"/>
        </w:rPr>
        <w:t>IEEE Trans. Com., May 2015.</w:t>
      </w:r>
      <w:bookmarkEnd w:id="9"/>
    </w:p>
    <w:p w14:paraId="7CA9AF2F" w14:textId="77777777" w:rsidR="004368CF" w:rsidRPr="00204D0C" w:rsidRDefault="004368CF" w:rsidP="004368CF">
      <w:pPr>
        <w:pStyle w:val="Reference"/>
        <w:rPr>
          <w:rFonts w:ascii="Times New Roman" w:hAnsi="Times New Roman"/>
        </w:rPr>
      </w:pPr>
      <w:bookmarkStart w:id="10" w:name="_Ref450651924"/>
      <w:r w:rsidRPr="00B3654A">
        <w:rPr>
          <w:rFonts w:ascii="Times New Roman" w:hAnsi="Times New Roman"/>
        </w:rPr>
        <w:t xml:space="preserve">D. </w:t>
      </w:r>
      <w:proofErr w:type="spellStart"/>
      <w:r w:rsidRPr="00B3654A">
        <w:rPr>
          <w:rFonts w:ascii="Times New Roman" w:hAnsi="Times New Roman"/>
        </w:rPr>
        <w:t>Divsalar</w:t>
      </w:r>
      <w:proofErr w:type="spellEnd"/>
      <w:r w:rsidRPr="00B3654A">
        <w:rPr>
          <w:rFonts w:ascii="Times New Roman" w:hAnsi="Times New Roman"/>
        </w:rPr>
        <w:t xml:space="preserve">, S. </w:t>
      </w:r>
      <w:proofErr w:type="spellStart"/>
      <w:r w:rsidRPr="00B3654A">
        <w:rPr>
          <w:rFonts w:ascii="Times New Roman" w:hAnsi="Times New Roman"/>
        </w:rPr>
        <w:t>Dolinar</w:t>
      </w:r>
      <w:proofErr w:type="spellEnd"/>
      <w:r w:rsidRPr="00B3654A">
        <w:rPr>
          <w:rFonts w:ascii="Times New Roman" w:hAnsi="Times New Roman"/>
        </w:rPr>
        <w:t xml:space="preserve">, C. R. Jones and K. Andrews, "Capacity-approaching </w:t>
      </w:r>
      <w:proofErr w:type="spellStart"/>
      <w:r w:rsidRPr="00B3654A">
        <w:rPr>
          <w:rFonts w:ascii="Times New Roman" w:hAnsi="Times New Roman"/>
        </w:rPr>
        <w:t>protograph</w:t>
      </w:r>
      <w:proofErr w:type="spellEnd"/>
      <w:r w:rsidRPr="00B3654A">
        <w:rPr>
          <w:rFonts w:ascii="Times New Roman" w:hAnsi="Times New Roman"/>
        </w:rPr>
        <w:t xml:space="preserve"> codes," in IEEE Journal on Selected Areas in Communications, vol. 27, no. 6, pp. 876-888, August 2009.</w:t>
      </w:r>
      <w:bookmarkEnd w:id="10"/>
    </w:p>
    <w:p w14:paraId="14B29CEE" w14:textId="77777777" w:rsidR="004368CF" w:rsidRDefault="004368CF" w:rsidP="004368CF">
      <w:pPr>
        <w:pStyle w:val="Reference"/>
        <w:rPr>
          <w:rFonts w:ascii="Times New Roman" w:hAnsi="Times New Roman"/>
        </w:rPr>
      </w:pPr>
      <w:bookmarkStart w:id="11" w:name="_Ref450571732"/>
      <w:r w:rsidRPr="00204D0C">
        <w:rPr>
          <w:rFonts w:ascii="Times New Roman" w:hAnsi="Times New Roman"/>
        </w:rPr>
        <w:t xml:space="preserve">Chen, </w:t>
      </w:r>
      <w:proofErr w:type="spellStart"/>
      <w:r w:rsidRPr="00204D0C">
        <w:rPr>
          <w:rFonts w:ascii="Times New Roman" w:hAnsi="Times New Roman"/>
        </w:rPr>
        <w:t>Jinghu</w:t>
      </w:r>
      <w:proofErr w:type="spellEnd"/>
      <w:r w:rsidRPr="00204D0C">
        <w:rPr>
          <w:rFonts w:ascii="Times New Roman" w:hAnsi="Times New Roman"/>
        </w:rPr>
        <w:t>, et al. "Improved min-sum decoding algorithms for irregular LDPC codes." Information Theory, 2005. ISIT 2005. Proceedings. International Symposium on. IEEE, 2005.</w:t>
      </w:r>
      <w:bookmarkEnd w:id="11"/>
    </w:p>
    <w:p w14:paraId="233B1DDF" w14:textId="77777777" w:rsidR="004368CF" w:rsidRPr="00CF6F25" w:rsidRDefault="004368CF" w:rsidP="004368CF">
      <w:pPr>
        <w:pStyle w:val="Reference"/>
        <w:tabs>
          <w:tab w:val="right" w:pos="9072"/>
        </w:tabs>
        <w:ind w:right="567"/>
        <w:rPr>
          <w:rFonts w:ascii="Times New Roman" w:hAnsi="Times New Roman"/>
        </w:rPr>
      </w:pPr>
      <w:r w:rsidRPr="00CF6F25">
        <w:rPr>
          <w:rFonts w:ascii="Times New Roman" w:hAnsi="Times New Roman"/>
        </w:rPr>
        <w:t>R1-164356</w:t>
      </w:r>
      <w:r>
        <w:rPr>
          <w:rFonts w:ascii="Times New Roman" w:hAnsi="Times New Roman"/>
        </w:rPr>
        <w:t>, “</w:t>
      </w:r>
      <w:r w:rsidRPr="00CF6F25">
        <w:rPr>
          <w:rFonts w:ascii="Times New Roman" w:hAnsi="Times New Roman"/>
        </w:rPr>
        <w:t>Performance Evaluation of TBCC and Polar Codes</w:t>
      </w:r>
      <w:r>
        <w:rPr>
          <w:rFonts w:ascii="Times New Roman" w:hAnsi="Times New Roman"/>
        </w:rPr>
        <w:t xml:space="preserve">,” </w:t>
      </w:r>
      <w:r w:rsidRPr="00CF6F25">
        <w:rPr>
          <w:rFonts w:ascii="Times New Roman" w:hAnsi="Times New Roman"/>
        </w:rPr>
        <w:t>Ericsson</w:t>
      </w:r>
      <w:r>
        <w:rPr>
          <w:rFonts w:ascii="Times New Roman" w:hAnsi="Times New Roman"/>
        </w:rPr>
        <w:t>.</w:t>
      </w:r>
    </w:p>
    <w:p w14:paraId="2DF5AB76" w14:textId="77777777" w:rsidR="004368CF" w:rsidRPr="00CF6F25" w:rsidRDefault="004368CF" w:rsidP="004368CF">
      <w:pPr>
        <w:pStyle w:val="Reference"/>
        <w:tabs>
          <w:tab w:val="right" w:pos="9072"/>
        </w:tabs>
        <w:ind w:right="567"/>
        <w:rPr>
          <w:rFonts w:ascii="Times New Roman" w:hAnsi="Times New Roman"/>
        </w:rPr>
      </w:pPr>
      <w:r w:rsidRPr="00CF6F25">
        <w:rPr>
          <w:rFonts w:ascii="Times New Roman" w:hAnsi="Times New Roman"/>
        </w:rPr>
        <w:t>R1-164357</w:t>
      </w:r>
      <w:r>
        <w:rPr>
          <w:rFonts w:ascii="Times New Roman" w:hAnsi="Times New Roman"/>
        </w:rPr>
        <w:t>, “</w:t>
      </w:r>
      <w:r w:rsidRPr="00CF6F25">
        <w:rPr>
          <w:rFonts w:ascii="Times New Roman" w:hAnsi="Times New Roman"/>
        </w:rPr>
        <w:t>Analysis of Candidate Code Types for Short Block Length</w:t>
      </w:r>
      <w:r>
        <w:rPr>
          <w:rFonts w:ascii="Times New Roman" w:hAnsi="Times New Roman"/>
        </w:rPr>
        <w:t xml:space="preserve">,” </w:t>
      </w:r>
      <w:r w:rsidRPr="00CF6F25">
        <w:rPr>
          <w:rFonts w:ascii="Times New Roman" w:hAnsi="Times New Roman"/>
        </w:rPr>
        <w:t>Ericsson</w:t>
      </w:r>
      <w:r>
        <w:rPr>
          <w:rFonts w:ascii="Times New Roman" w:hAnsi="Times New Roman"/>
        </w:rPr>
        <w:t>.</w:t>
      </w:r>
    </w:p>
    <w:p w14:paraId="44BF913A" w14:textId="77777777" w:rsidR="004368CF" w:rsidRPr="00CF6F25" w:rsidRDefault="004368CF" w:rsidP="004368CF">
      <w:pPr>
        <w:pStyle w:val="Reference"/>
        <w:tabs>
          <w:tab w:val="right" w:pos="9072"/>
        </w:tabs>
        <w:ind w:right="567"/>
        <w:rPr>
          <w:rFonts w:ascii="Times New Roman" w:hAnsi="Times New Roman"/>
        </w:rPr>
      </w:pPr>
      <w:r w:rsidRPr="00CF6F25">
        <w:rPr>
          <w:rFonts w:ascii="Times New Roman" w:hAnsi="Times New Roman"/>
        </w:rPr>
        <w:lastRenderedPageBreak/>
        <w:t>R1-164358</w:t>
      </w:r>
      <w:r>
        <w:rPr>
          <w:rFonts w:ascii="Times New Roman" w:hAnsi="Times New Roman"/>
        </w:rPr>
        <w:t>, “</w:t>
      </w:r>
      <w:r w:rsidRPr="00CF6F25">
        <w:rPr>
          <w:rFonts w:ascii="Times New Roman" w:hAnsi="Times New Roman"/>
        </w:rPr>
        <w:t>Performance Evaluation of Turbo Codes and LDPC Codes at Lower Code Rates</w:t>
      </w:r>
      <w:r>
        <w:rPr>
          <w:rFonts w:ascii="Times New Roman" w:hAnsi="Times New Roman"/>
        </w:rPr>
        <w:t xml:space="preserve">,” </w:t>
      </w:r>
      <w:r w:rsidRPr="00CF6F25">
        <w:rPr>
          <w:rFonts w:ascii="Times New Roman" w:hAnsi="Times New Roman"/>
        </w:rPr>
        <w:t>Ericsson</w:t>
      </w:r>
      <w:r>
        <w:rPr>
          <w:rFonts w:ascii="Times New Roman" w:hAnsi="Times New Roman"/>
        </w:rPr>
        <w:t>.</w:t>
      </w:r>
    </w:p>
    <w:p w14:paraId="0433433A" w14:textId="77777777" w:rsidR="004368CF" w:rsidRPr="00CF6F25" w:rsidRDefault="004368CF" w:rsidP="004368CF">
      <w:pPr>
        <w:pStyle w:val="Reference"/>
        <w:tabs>
          <w:tab w:val="right" w:pos="9072"/>
        </w:tabs>
        <w:ind w:right="567"/>
        <w:rPr>
          <w:rFonts w:ascii="Times New Roman" w:hAnsi="Times New Roman"/>
        </w:rPr>
      </w:pPr>
      <w:r w:rsidRPr="00CF6F25">
        <w:rPr>
          <w:rFonts w:ascii="Times New Roman" w:hAnsi="Times New Roman"/>
        </w:rPr>
        <w:t>R1-164359</w:t>
      </w:r>
      <w:r>
        <w:rPr>
          <w:rFonts w:ascii="Times New Roman" w:hAnsi="Times New Roman"/>
        </w:rPr>
        <w:t>, “</w:t>
      </w:r>
      <w:r w:rsidRPr="00CF6F25">
        <w:rPr>
          <w:rFonts w:ascii="Times New Roman" w:hAnsi="Times New Roman"/>
        </w:rPr>
        <w:t>Performance Evaluation of Turbo Codes and LDPC Codes at Higher Code Rates</w:t>
      </w:r>
      <w:r>
        <w:rPr>
          <w:rFonts w:ascii="Times New Roman" w:hAnsi="Times New Roman"/>
        </w:rPr>
        <w:t xml:space="preserve">,” </w:t>
      </w:r>
      <w:r w:rsidRPr="00CF6F25">
        <w:rPr>
          <w:rFonts w:ascii="Times New Roman" w:hAnsi="Times New Roman"/>
        </w:rPr>
        <w:t>Ericsson</w:t>
      </w:r>
      <w:r>
        <w:rPr>
          <w:rFonts w:ascii="Times New Roman" w:hAnsi="Times New Roman"/>
        </w:rPr>
        <w:t>.</w:t>
      </w:r>
    </w:p>
    <w:p w14:paraId="3DA6C3CA" w14:textId="77777777" w:rsidR="004368CF" w:rsidRPr="00CF6F25" w:rsidRDefault="004368CF" w:rsidP="004368CF">
      <w:pPr>
        <w:pStyle w:val="Reference"/>
        <w:tabs>
          <w:tab w:val="right" w:pos="9072"/>
        </w:tabs>
        <w:ind w:right="567"/>
        <w:rPr>
          <w:rFonts w:ascii="Times New Roman" w:hAnsi="Times New Roman"/>
        </w:rPr>
      </w:pPr>
      <w:r w:rsidRPr="00CF6F25">
        <w:rPr>
          <w:rFonts w:ascii="Times New Roman" w:hAnsi="Times New Roman"/>
        </w:rPr>
        <w:t>R1-164360</w:t>
      </w:r>
      <w:r>
        <w:rPr>
          <w:rFonts w:ascii="Times New Roman" w:hAnsi="Times New Roman"/>
        </w:rPr>
        <w:t>, “</w:t>
      </w:r>
      <w:r w:rsidRPr="00CF6F25">
        <w:rPr>
          <w:rFonts w:ascii="Times New Roman" w:hAnsi="Times New Roman"/>
        </w:rPr>
        <w:t>Analysis of Candidate Code Types for Long Block Length</w:t>
      </w:r>
      <w:r>
        <w:rPr>
          <w:rFonts w:ascii="Times New Roman" w:hAnsi="Times New Roman"/>
        </w:rPr>
        <w:t xml:space="preserve">,” </w:t>
      </w:r>
      <w:r w:rsidRPr="00CF6F25">
        <w:rPr>
          <w:rFonts w:ascii="Times New Roman" w:hAnsi="Times New Roman"/>
        </w:rPr>
        <w:t>Ericsson</w:t>
      </w:r>
      <w:r>
        <w:rPr>
          <w:rFonts w:ascii="Times New Roman" w:hAnsi="Times New Roman"/>
        </w:rPr>
        <w:t>.</w:t>
      </w:r>
    </w:p>
    <w:p w14:paraId="41B1ED4E" w14:textId="77777777" w:rsidR="004368CF" w:rsidRPr="00CF6F25" w:rsidRDefault="004368CF" w:rsidP="004368CF">
      <w:pPr>
        <w:pStyle w:val="Reference"/>
        <w:tabs>
          <w:tab w:val="right" w:pos="9072"/>
        </w:tabs>
        <w:ind w:right="567"/>
        <w:rPr>
          <w:rFonts w:ascii="Times New Roman" w:hAnsi="Times New Roman"/>
        </w:rPr>
      </w:pPr>
      <w:r w:rsidRPr="00CF6F25">
        <w:rPr>
          <w:rFonts w:ascii="Times New Roman" w:hAnsi="Times New Roman"/>
        </w:rPr>
        <w:t>R1-164361</w:t>
      </w:r>
      <w:r>
        <w:rPr>
          <w:rFonts w:ascii="Times New Roman" w:hAnsi="Times New Roman"/>
        </w:rPr>
        <w:t>, “</w:t>
      </w:r>
      <w:r w:rsidRPr="00CF6F25">
        <w:rPr>
          <w:rFonts w:ascii="Times New Roman" w:hAnsi="Times New Roman"/>
        </w:rPr>
        <w:t>Turbo Code Enhancements</w:t>
      </w:r>
      <w:r>
        <w:rPr>
          <w:rFonts w:ascii="Times New Roman" w:hAnsi="Times New Roman"/>
        </w:rPr>
        <w:t xml:space="preserve">,” </w:t>
      </w:r>
      <w:r w:rsidRPr="00CF6F25">
        <w:rPr>
          <w:rFonts w:ascii="Times New Roman" w:hAnsi="Times New Roman"/>
        </w:rPr>
        <w:t>Ericsson</w:t>
      </w:r>
      <w:r>
        <w:rPr>
          <w:rFonts w:ascii="Times New Roman" w:hAnsi="Times New Roman"/>
        </w:rPr>
        <w:t>.</w:t>
      </w:r>
    </w:p>
    <w:p w14:paraId="61E9A9C4" w14:textId="77777777" w:rsidR="004368CF" w:rsidRDefault="004368CF" w:rsidP="004368CF">
      <w:pPr>
        <w:pStyle w:val="Reference"/>
        <w:tabs>
          <w:tab w:val="right" w:pos="9072"/>
        </w:tabs>
        <w:ind w:right="567"/>
        <w:rPr>
          <w:rFonts w:ascii="Times New Roman" w:hAnsi="Times New Roman"/>
        </w:rPr>
      </w:pPr>
      <w:bookmarkStart w:id="12" w:name="_Ref458716822"/>
      <w:r w:rsidRPr="00CF6F25">
        <w:rPr>
          <w:rFonts w:ascii="Times New Roman" w:hAnsi="Times New Roman"/>
        </w:rPr>
        <w:t>R1-165036</w:t>
      </w:r>
      <w:r>
        <w:rPr>
          <w:rFonts w:ascii="Times New Roman" w:hAnsi="Times New Roman"/>
        </w:rPr>
        <w:t>, “</w:t>
      </w:r>
      <w:r w:rsidRPr="00CF6F25">
        <w:rPr>
          <w:rFonts w:ascii="Times New Roman" w:hAnsi="Times New Roman"/>
        </w:rPr>
        <w:t>Impact of Number of Iterations in Decoding Turbo and LDPC codes</w:t>
      </w:r>
      <w:r>
        <w:rPr>
          <w:rFonts w:ascii="Times New Roman" w:hAnsi="Times New Roman"/>
        </w:rPr>
        <w:t xml:space="preserve">,” </w:t>
      </w:r>
      <w:r w:rsidRPr="00CF6F25">
        <w:rPr>
          <w:rFonts w:ascii="Times New Roman" w:hAnsi="Times New Roman"/>
        </w:rPr>
        <w:t>Ericsson.</w:t>
      </w:r>
      <w:bookmarkEnd w:id="12"/>
    </w:p>
    <w:p w14:paraId="3B854A96" w14:textId="4EE48B4B" w:rsidR="004368CF" w:rsidRPr="001177C6" w:rsidRDefault="004368CF" w:rsidP="001177C6">
      <w:pPr>
        <w:pStyle w:val="Reference"/>
        <w:rPr>
          <w:rFonts w:ascii="Times New Roman" w:hAnsi="Times New Roman"/>
        </w:rPr>
      </w:pPr>
      <w:r w:rsidRPr="000039B5">
        <w:rPr>
          <w:rFonts w:ascii="Times New Roman" w:hAnsi="Times New Roman"/>
        </w:rPr>
        <w:t xml:space="preserve">F. </w:t>
      </w:r>
      <w:proofErr w:type="spellStart"/>
      <w:r w:rsidRPr="000039B5">
        <w:rPr>
          <w:rFonts w:ascii="Times New Roman" w:hAnsi="Times New Roman"/>
        </w:rPr>
        <w:t>Kienle</w:t>
      </w:r>
      <w:proofErr w:type="spellEnd"/>
      <w:r w:rsidRPr="000039B5">
        <w:rPr>
          <w:rFonts w:ascii="Times New Roman" w:hAnsi="Times New Roman"/>
        </w:rPr>
        <w:t>, et al</w:t>
      </w:r>
      <w:proofErr w:type="gramStart"/>
      <w:r w:rsidRPr="000039B5">
        <w:rPr>
          <w:rFonts w:ascii="Times New Roman" w:hAnsi="Times New Roman"/>
        </w:rPr>
        <w:t>,,</w:t>
      </w:r>
      <w:proofErr w:type="gramEnd"/>
      <w:r w:rsidRPr="000039B5">
        <w:rPr>
          <w:rFonts w:ascii="Times New Roman" w:hAnsi="Times New Roman"/>
        </w:rPr>
        <w:t xml:space="preserve"> “On Complexity, Energy- and Implementation-Efficiency of Channel Decoders,” IEEE TRANSACTIONS ON COMMUNICATIONS, VOL. 59, NO. 12, DECEMBER 2011, pp. 3301-3310.</w:t>
      </w:r>
    </w:p>
    <w:bookmarkEnd w:id="6"/>
    <w:p w14:paraId="038B2554" w14:textId="77777777" w:rsidR="004368CF" w:rsidRPr="00B6417B" w:rsidRDefault="004368CF" w:rsidP="004368CF">
      <w:pPr>
        <w:pStyle w:val="Reference"/>
        <w:numPr>
          <w:ilvl w:val="0"/>
          <w:numId w:val="0"/>
        </w:numPr>
        <w:ind w:left="567"/>
        <w:rPr>
          <w:lang w:val="en-US"/>
        </w:rPr>
      </w:pPr>
    </w:p>
    <w:p w14:paraId="0C23A9E9" w14:textId="77777777" w:rsidR="004368CF" w:rsidRPr="008C7356" w:rsidRDefault="004368CF" w:rsidP="004368CF">
      <w:pPr>
        <w:pStyle w:val="Reference"/>
        <w:numPr>
          <w:ilvl w:val="0"/>
          <w:numId w:val="0"/>
        </w:numPr>
        <w:ind w:left="567"/>
        <w:rPr>
          <w:lang w:val="en-US"/>
        </w:rPr>
      </w:pPr>
    </w:p>
    <w:bookmarkEnd w:id="7"/>
    <w:bookmarkEnd w:id="8"/>
    <w:p w14:paraId="4F3A116E" w14:textId="77777777" w:rsidR="004368CF" w:rsidRDefault="004368CF" w:rsidP="004368CF">
      <w:pPr>
        <w:pStyle w:val="Heading1"/>
        <w:tabs>
          <w:tab w:val="clear" w:pos="567"/>
          <w:tab w:val="num" w:pos="432"/>
        </w:tabs>
      </w:pPr>
      <w:r>
        <w:t>Appendix. Parity Check Matrices</w:t>
      </w:r>
    </w:p>
    <w:p w14:paraId="01BB953D" w14:textId="77777777" w:rsidR="001E03D9" w:rsidRDefault="00CC02E0"/>
    <w:sectPr w:rsidR="001E03D9">
      <w:pgSz w:w="11906" w:h="16838"/>
      <w:pgMar w:top="1417" w:right="1417" w:bottom="1417" w:left="1417"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CED0C2D" w15:done="0"/>
  <w15:commentEx w15:paraId="3CF8EEF1" w15:done="0"/>
  <w15:commentEx w15:paraId="01681440" w15:done="0"/>
  <w15:commentEx w15:paraId="3DCEB6E7" w15:done="0"/>
  <w15:commentEx w15:paraId="7A22C23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061A48" w14:textId="77777777" w:rsidR="00CC02E0" w:rsidRDefault="00CC02E0" w:rsidP="003B7A5C">
      <w:r>
        <w:separator/>
      </w:r>
    </w:p>
  </w:endnote>
  <w:endnote w:type="continuationSeparator" w:id="0">
    <w:p w14:paraId="445EF925" w14:textId="77777777" w:rsidR="00CC02E0" w:rsidRDefault="00CC02E0" w:rsidP="003B7A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Nokia Pure Text">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NewRoman,Italic">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87F981" w14:textId="77777777" w:rsidR="00CC02E0" w:rsidRDefault="00CC02E0" w:rsidP="003B7A5C">
      <w:r>
        <w:separator/>
      </w:r>
    </w:p>
  </w:footnote>
  <w:footnote w:type="continuationSeparator" w:id="0">
    <w:p w14:paraId="433A6F7A" w14:textId="77777777" w:rsidR="00CC02E0" w:rsidRDefault="00CC02E0" w:rsidP="003B7A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95ECA"/>
    <w:multiLevelType w:val="hybridMultilevel"/>
    <w:tmpl w:val="46300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E35D92"/>
    <w:multiLevelType w:val="hybridMultilevel"/>
    <w:tmpl w:val="E74038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AA46647"/>
    <w:multiLevelType w:val="hybridMultilevel"/>
    <w:tmpl w:val="0C76814E"/>
    <w:lvl w:ilvl="0" w:tplc="0618288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4BDF65F6"/>
    <w:multiLevelType w:val="hybridMultilevel"/>
    <w:tmpl w:val="614AE1A6"/>
    <w:lvl w:ilvl="0" w:tplc="1D328E8A">
      <w:start w:val="1"/>
      <w:numFmt w:val="decimal"/>
      <w:pStyle w:val="Reference"/>
      <w:lvlText w:val="[%1]"/>
      <w:lvlJc w:val="left"/>
      <w:pPr>
        <w:tabs>
          <w:tab w:val="num" w:pos="567"/>
        </w:tabs>
        <w:ind w:left="567" w:hanging="567"/>
      </w:pPr>
      <w:rPr>
        <w:rFonts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4ED75B2A"/>
    <w:multiLevelType w:val="hybridMultilevel"/>
    <w:tmpl w:val="7AC2DB4E"/>
    <w:lvl w:ilvl="0" w:tplc="B45CCB3C">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D084C29"/>
    <w:multiLevelType w:val="hybridMultilevel"/>
    <w:tmpl w:val="91C4808A"/>
    <w:lvl w:ilvl="0" w:tplc="593008F8">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612C2C4F"/>
    <w:multiLevelType w:val="hybridMultilevel"/>
    <w:tmpl w:val="7AC2DB4E"/>
    <w:lvl w:ilvl="0" w:tplc="B45CCB3C">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70B7131"/>
    <w:multiLevelType w:val="hybridMultilevel"/>
    <w:tmpl w:val="57D6191C"/>
    <w:lvl w:ilvl="0" w:tplc="CEA4086C">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8380169"/>
    <w:multiLevelType w:val="hybridMultilevel"/>
    <w:tmpl w:val="5FC09E5E"/>
    <w:lvl w:ilvl="0" w:tplc="A9301D9E">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BED18BC"/>
    <w:multiLevelType w:val="multilevel"/>
    <w:tmpl w:val="32FEA0A4"/>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9"/>
  </w:num>
  <w:num w:numId="2">
    <w:abstractNumId w:val="3"/>
  </w:num>
  <w:num w:numId="3">
    <w:abstractNumId w:val="2"/>
  </w:num>
  <w:num w:numId="4">
    <w:abstractNumId w:val="2"/>
    <w:lvlOverride w:ilvl="0">
      <w:startOverride w:val="1"/>
    </w:lvlOverride>
  </w:num>
  <w:num w:numId="5">
    <w:abstractNumId w:val="0"/>
  </w:num>
  <w:num w:numId="6">
    <w:abstractNumId w:val="1"/>
  </w:num>
  <w:num w:numId="7">
    <w:abstractNumId w:val="5"/>
  </w:num>
  <w:num w:numId="8">
    <w:abstractNumId w:val="4"/>
  </w:num>
  <w:num w:numId="9">
    <w:abstractNumId w:val="7"/>
  </w:num>
  <w:num w:numId="10">
    <w:abstractNumId w:val="8"/>
  </w:num>
  <w:num w:numId="11">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ttias Andersson W">
    <w15:presenceInfo w15:providerId="AD" w15:userId="S-1-5-21-1538607324-3213881460-940295383-5768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oofState w:spelling="clean" w:grammar="clean"/>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68CF"/>
    <w:rsid w:val="00100C5F"/>
    <w:rsid w:val="001177C6"/>
    <w:rsid w:val="00192E8E"/>
    <w:rsid w:val="001F45D5"/>
    <w:rsid w:val="002516CF"/>
    <w:rsid w:val="00252704"/>
    <w:rsid w:val="00264B65"/>
    <w:rsid w:val="00322285"/>
    <w:rsid w:val="003963FC"/>
    <w:rsid w:val="003B7A5C"/>
    <w:rsid w:val="00431A2A"/>
    <w:rsid w:val="004368CF"/>
    <w:rsid w:val="00654B17"/>
    <w:rsid w:val="00705A63"/>
    <w:rsid w:val="0077747D"/>
    <w:rsid w:val="008C23AE"/>
    <w:rsid w:val="008F18FF"/>
    <w:rsid w:val="00AC161C"/>
    <w:rsid w:val="00B134F6"/>
    <w:rsid w:val="00B649D4"/>
    <w:rsid w:val="00C14EDD"/>
    <w:rsid w:val="00CC02E0"/>
    <w:rsid w:val="00D95245"/>
    <w:rsid w:val="00E42D3A"/>
    <w:rsid w:val="00EE7F55"/>
    <w:rsid w:val="00F1281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747C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368CF"/>
    <w:pPr>
      <w:spacing w:after="0" w:line="240" w:lineRule="auto"/>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标题 1,Alt+1,Alt+11,Alt+12,Alt+13"/>
    <w:basedOn w:val="Normal"/>
    <w:next w:val="BodyText"/>
    <w:link w:val="Heading1Char"/>
    <w:qFormat/>
    <w:rsid w:val="004368CF"/>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标题 2"/>
    <w:basedOn w:val="Normal"/>
    <w:next w:val="BodyText"/>
    <w:link w:val="Heading2Char"/>
    <w:qFormat/>
    <w:rsid w:val="004368CF"/>
    <w:pPr>
      <w:keepNext/>
      <w:numPr>
        <w:ilvl w:val="1"/>
        <w:numId w:val="1"/>
      </w:numPr>
      <w:spacing w:before="240" w:after="60"/>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4368CF"/>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标题 4"/>
    <w:basedOn w:val="Normal"/>
    <w:next w:val="Normal"/>
    <w:link w:val="Heading4Char"/>
    <w:qFormat/>
    <w:rsid w:val="004368CF"/>
    <w:pPr>
      <w:keepNext/>
      <w:numPr>
        <w:ilvl w:val="3"/>
        <w:numId w:val="1"/>
      </w:numPr>
      <w:spacing w:before="240" w:after="60"/>
      <w:outlineLvl w:val="3"/>
    </w:pPr>
    <w:rPr>
      <w:rFonts w:eastAsia="MS Mincho"/>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4368CF"/>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标题 2 Char"/>
    <w:basedOn w:val="DefaultParagraphFont"/>
    <w:link w:val="Heading2"/>
    <w:rsid w:val="004368CF"/>
    <w:rPr>
      <w:rFonts w:ascii="Helvetica" w:eastAsia="MS Mincho" w:hAnsi="Helvetica" w:cs="Arial"/>
      <w:b/>
      <w:bCs/>
      <w:iCs/>
      <w:sz w:val="20"/>
      <w:szCs w:val="28"/>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4368CF"/>
    <w:rPr>
      <w:rFonts w:ascii="Arial" w:eastAsia="MS Mincho" w:hAnsi="Arial" w:cs="Arial"/>
      <w:b/>
      <w:bCs/>
      <w:sz w:val="26"/>
      <w:szCs w:val="26"/>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368CF"/>
    <w:rPr>
      <w:rFonts w:ascii="Times New Roman" w:eastAsia="MS Mincho" w:hAnsi="Times New Roman" w:cs="Times New Roman"/>
      <w:b/>
      <w:bCs/>
      <w:sz w:val="28"/>
      <w:szCs w:val="28"/>
      <w:lang w:val="en-US"/>
    </w:rPr>
  </w:style>
  <w:style w:type="paragraph" w:styleId="BodyText">
    <w:name w:val="Body Text"/>
    <w:aliases w:val="bt"/>
    <w:basedOn w:val="Normal"/>
    <w:link w:val="BodyTextChar"/>
    <w:rsid w:val="004368CF"/>
    <w:pPr>
      <w:spacing w:after="120"/>
      <w:jc w:val="both"/>
    </w:pPr>
    <w:rPr>
      <w:rFonts w:eastAsia="MS Mincho"/>
    </w:rPr>
  </w:style>
  <w:style w:type="character" w:customStyle="1" w:styleId="BodyTextChar">
    <w:name w:val="Body Text Char"/>
    <w:aliases w:val="bt Char"/>
    <w:basedOn w:val="DefaultParagraphFont"/>
    <w:link w:val="BodyText"/>
    <w:rsid w:val="004368CF"/>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4368CF"/>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4368CF"/>
    <w:rPr>
      <w:rFonts w:ascii="Arial" w:eastAsia="MS Mincho" w:hAnsi="Arial" w:cs="Times New Roman"/>
      <w:b/>
      <w:sz w:val="20"/>
      <w:szCs w:val="24"/>
      <w:lang w:val="en-US"/>
    </w:rPr>
  </w:style>
  <w:style w:type="paragraph" w:customStyle="1" w:styleId="Reference">
    <w:name w:val="Reference"/>
    <w:basedOn w:val="Normal"/>
    <w:link w:val="ReferenceChar"/>
    <w:qFormat/>
    <w:rsid w:val="004368CF"/>
    <w:pPr>
      <w:numPr>
        <w:numId w:val="2"/>
      </w:numPr>
      <w:overflowPunct w:val="0"/>
      <w:autoSpaceDE w:val="0"/>
      <w:autoSpaceDN w:val="0"/>
      <w:adjustRightInd w:val="0"/>
      <w:spacing w:after="120"/>
      <w:jc w:val="both"/>
      <w:textAlignment w:val="baseline"/>
    </w:pPr>
    <w:rPr>
      <w:rFonts w:ascii="Arial" w:hAnsi="Arial"/>
      <w:szCs w:val="20"/>
      <w:lang w:val="en-GB" w:eastAsia="zh-CN"/>
    </w:rPr>
  </w:style>
  <w:style w:type="character" w:customStyle="1" w:styleId="ReferenceChar">
    <w:name w:val="Reference Char"/>
    <w:link w:val="Reference"/>
    <w:rsid w:val="004368CF"/>
    <w:rPr>
      <w:rFonts w:ascii="Arial" w:eastAsia="Times New Roman" w:hAnsi="Arial" w:cs="Times New Roman"/>
      <w:sz w:val="20"/>
      <w:szCs w:val="20"/>
      <w:lang w:val="en-GB" w:eastAsia="zh-CN"/>
    </w:rPr>
  </w:style>
  <w:style w:type="paragraph" w:customStyle="1" w:styleId="Proposal">
    <w:name w:val="Proposal"/>
    <w:basedOn w:val="Normal"/>
    <w:rsid w:val="004368CF"/>
    <w:pPr>
      <w:numPr>
        <w:numId w:val="3"/>
      </w:numPr>
      <w:tabs>
        <w:tab w:val="left" w:pos="1701"/>
      </w:tabs>
      <w:overflowPunct w:val="0"/>
      <w:autoSpaceDE w:val="0"/>
      <w:autoSpaceDN w:val="0"/>
      <w:adjustRightInd w:val="0"/>
      <w:spacing w:after="120"/>
      <w:jc w:val="both"/>
      <w:textAlignment w:val="baseline"/>
    </w:pPr>
    <w:rPr>
      <w:rFonts w:ascii="Arial" w:hAnsi="Arial"/>
      <w:b/>
      <w:bCs/>
      <w:szCs w:val="20"/>
      <w:lang w:val="en-GB" w:eastAsia="zh-CN"/>
    </w:rPr>
  </w:style>
  <w:style w:type="character" w:styleId="CommentReference">
    <w:name w:val="annotation reference"/>
    <w:basedOn w:val="DefaultParagraphFont"/>
    <w:uiPriority w:val="99"/>
    <w:semiHidden/>
    <w:unhideWhenUsed/>
    <w:rsid w:val="004368CF"/>
    <w:rPr>
      <w:sz w:val="16"/>
      <w:szCs w:val="16"/>
    </w:rPr>
  </w:style>
  <w:style w:type="paragraph" w:styleId="CommentText">
    <w:name w:val="annotation text"/>
    <w:basedOn w:val="Normal"/>
    <w:link w:val="CommentTextChar"/>
    <w:uiPriority w:val="99"/>
    <w:semiHidden/>
    <w:unhideWhenUsed/>
    <w:rsid w:val="004368CF"/>
    <w:rPr>
      <w:szCs w:val="20"/>
    </w:rPr>
  </w:style>
  <w:style w:type="character" w:customStyle="1" w:styleId="CommentTextChar">
    <w:name w:val="Comment Text Char"/>
    <w:basedOn w:val="DefaultParagraphFont"/>
    <w:link w:val="CommentText"/>
    <w:uiPriority w:val="99"/>
    <w:semiHidden/>
    <w:rsid w:val="004368CF"/>
    <w:rPr>
      <w:rFonts w:ascii="Times New Roman" w:eastAsia="Times New Roman" w:hAnsi="Times New Roman" w:cs="Times New Roman"/>
      <w:sz w:val="20"/>
      <w:szCs w:val="20"/>
      <w:lang w:val="en-US"/>
    </w:rPr>
  </w:style>
  <w:style w:type="table" w:styleId="TableGrid">
    <w:name w:val="Table Grid"/>
    <w:basedOn w:val="TableNormal"/>
    <w:uiPriority w:val="59"/>
    <w:rsid w:val="004368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368C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368CF"/>
    <w:rPr>
      <w:rFonts w:ascii="Segoe UI" w:eastAsia="Times New Roman" w:hAnsi="Segoe UI" w:cs="Segoe UI"/>
      <w:sz w:val="18"/>
      <w:szCs w:val="18"/>
      <w:lang w:val="en-US"/>
    </w:rPr>
  </w:style>
  <w:style w:type="paragraph" w:styleId="ListParagraph">
    <w:name w:val="List Paragraph"/>
    <w:basedOn w:val="Normal"/>
    <w:uiPriority w:val="34"/>
    <w:qFormat/>
    <w:rsid w:val="00654B17"/>
    <w:pPr>
      <w:ind w:left="720"/>
    </w:pPr>
    <w:rPr>
      <w:rFonts w:ascii="Calibri" w:eastAsiaTheme="minorHAnsi" w:hAnsi="Calibri"/>
      <w:sz w:val="22"/>
      <w:szCs w:val="22"/>
      <w:lang w:val="sv-SE" w:eastAsia="sv-SE"/>
    </w:rPr>
  </w:style>
  <w:style w:type="paragraph" w:styleId="CommentSubject">
    <w:name w:val="annotation subject"/>
    <w:basedOn w:val="CommentText"/>
    <w:next w:val="CommentText"/>
    <w:link w:val="CommentSubjectChar"/>
    <w:uiPriority w:val="99"/>
    <w:semiHidden/>
    <w:unhideWhenUsed/>
    <w:rsid w:val="002516CF"/>
    <w:rPr>
      <w:b/>
      <w:bCs/>
    </w:rPr>
  </w:style>
  <w:style w:type="character" w:customStyle="1" w:styleId="CommentSubjectChar">
    <w:name w:val="Comment Subject Char"/>
    <w:basedOn w:val="CommentTextChar"/>
    <w:link w:val="CommentSubject"/>
    <w:uiPriority w:val="99"/>
    <w:semiHidden/>
    <w:rsid w:val="002516CF"/>
    <w:rPr>
      <w:rFonts w:ascii="Times New Roman" w:eastAsia="Times New Roman" w:hAnsi="Times New Roman" w:cs="Times New Roman"/>
      <w:b/>
      <w:bCs/>
      <w:sz w:val="20"/>
      <w:szCs w:val="20"/>
      <w:lang w:val="en-US"/>
    </w:rPr>
  </w:style>
  <w:style w:type="paragraph" w:styleId="Footer">
    <w:name w:val="footer"/>
    <w:basedOn w:val="Normal"/>
    <w:link w:val="FooterChar"/>
    <w:uiPriority w:val="99"/>
    <w:unhideWhenUsed/>
    <w:rsid w:val="003B7A5C"/>
    <w:pPr>
      <w:tabs>
        <w:tab w:val="center" w:pos="4536"/>
        <w:tab w:val="right" w:pos="9072"/>
      </w:tabs>
    </w:pPr>
  </w:style>
  <w:style w:type="character" w:customStyle="1" w:styleId="FooterChar">
    <w:name w:val="Footer Char"/>
    <w:basedOn w:val="DefaultParagraphFont"/>
    <w:link w:val="Footer"/>
    <w:uiPriority w:val="99"/>
    <w:rsid w:val="003B7A5C"/>
    <w:rPr>
      <w:rFonts w:ascii="Times New Roman" w:eastAsia="Times New Roman" w:hAnsi="Times New Roman" w:cs="Times New Roman"/>
      <w:sz w:val="20"/>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368CF"/>
    <w:pPr>
      <w:spacing w:after="0" w:line="240" w:lineRule="auto"/>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标题 1,Alt+1,Alt+11,Alt+12,Alt+13"/>
    <w:basedOn w:val="Normal"/>
    <w:next w:val="BodyText"/>
    <w:link w:val="Heading1Char"/>
    <w:qFormat/>
    <w:rsid w:val="004368CF"/>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标题 2"/>
    <w:basedOn w:val="Normal"/>
    <w:next w:val="BodyText"/>
    <w:link w:val="Heading2Char"/>
    <w:qFormat/>
    <w:rsid w:val="004368CF"/>
    <w:pPr>
      <w:keepNext/>
      <w:numPr>
        <w:ilvl w:val="1"/>
        <w:numId w:val="1"/>
      </w:numPr>
      <w:spacing w:before="240" w:after="60"/>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4368CF"/>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标题 4"/>
    <w:basedOn w:val="Normal"/>
    <w:next w:val="Normal"/>
    <w:link w:val="Heading4Char"/>
    <w:qFormat/>
    <w:rsid w:val="004368CF"/>
    <w:pPr>
      <w:keepNext/>
      <w:numPr>
        <w:ilvl w:val="3"/>
        <w:numId w:val="1"/>
      </w:numPr>
      <w:spacing w:before="240" w:after="60"/>
      <w:outlineLvl w:val="3"/>
    </w:pPr>
    <w:rPr>
      <w:rFonts w:eastAsia="MS Mincho"/>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4368CF"/>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标题 2 Char"/>
    <w:basedOn w:val="DefaultParagraphFont"/>
    <w:link w:val="Heading2"/>
    <w:rsid w:val="004368CF"/>
    <w:rPr>
      <w:rFonts w:ascii="Helvetica" w:eastAsia="MS Mincho" w:hAnsi="Helvetica" w:cs="Arial"/>
      <w:b/>
      <w:bCs/>
      <w:iCs/>
      <w:sz w:val="20"/>
      <w:szCs w:val="28"/>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4368CF"/>
    <w:rPr>
      <w:rFonts w:ascii="Arial" w:eastAsia="MS Mincho" w:hAnsi="Arial" w:cs="Arial"/>
      <w:b/>
      <w:bCs/>
      <w:sz w:val="26"/>
      <w:szCs w:val="26"/>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368CF"/>
    <w:rPr>
      <w:rFonts w:ascii="Times New Roman" w:eastAsia="MS Mincho" w:hAnsi="Times New Roman" w:cs="Times New Roman"/>
      <w:b/>
      <w:bCs/>
      <w:sz w:val="28"/>
      <w:szCs w:val="28"/>
      <w:lang w:val="en-US"/>
    </w:rPr>
  </w:style>
  <w:style w:type="paragraph" w:styleId="BodyText">
    <w:name w:val="Body Text"/>
    <w:aliases w:val="bt"/>
    <w:basedOn w:val="Normal"/>
    <w:link w:val="BodyTextChar"/>
    <w:rsid w:val="004368CF"/>
    <w:pPr>
      <w:spacing w:after="120"/>
      <w:jc w:val="both"/>
    </w:pPr>
    <w:rPr>
      <w:rFonts w:eastAsia="MS Mincho"/>
    </w:rPr>
  </w:style>
  <w:style w:type="character" w:customStyle="1" w:styleId="BodyTextChar">
    <w:name w:val="Body Text Char"/>
    <w:aliases w:val="bt Char"/>
    <w:basedOn w:val="DefaultParagraphFont"/>
    <w:link w:val="BodyText"/>
    <w:rsid w:val="004368CF"/>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4368CF"/>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4368CF"/>
    <w:rPr>
      <w:rFonts w:ascii="Arial" w:eastAsia="MS Mincho" w:hAnsi="Arial" w:cs="Times New Roman"/>
      <w:b/>
      <w:sz w:val="20"/>
      <w:szCs w:val="24"/>
      <w:lang w:val="en-US"/>
    </w:rPr>
  </w:style>
  <w:style w:type="paragraph" w:customStyle="1" w:styleId="Reference">
    <w:name w:val="Reference"/>
    <w:basedOn w:val="Normal"/>
    <w:link w:val="ReferenceChar"/>
    <w:qFormat/>
    <w:rsid w:val="004368CF"/>
    <w:pPr>
      <w:numPr>
        <w:numId w:val="2"/>
      </w:numPr>
      <w:overflowPunct w:val="0"/>
      <w:autoSpaceDE w:val="0"/>
      <w:autoSpaceDN w:val="0"/>
      <w:adjustRightInd w:val="0"/>
      <w:spacing w:after="120"/>
      <w:jc w:val="both"/>
      <w:textAlignment w:val="baseline"/>
    </w:pPr>
    <w:rPr>
      <w:rFonts w:ascii="Arial" w:hAnsi="Arial"/>
      <w:szCs w:val="20"/>
      <w:lang w:val="en-GB" w:eastAsia="zh-CN"/>
    </w:rPr>
  </w:style>
  <w:style w:type="character" w:customStyle="1" w:styleId="ReferenceChar">
    <w:name w:val="Reference Char"/>
    <w:link w:val="Reference"/>
    <w:rsid w:val="004368CF"/>
    <w:rPr>
      <w:rFonts w:ascii="Arial" w:eastAsia="Times New Roman" w:hAnsi="Arial" w:cs="Times New Roman"/>
      <w:sz w:val="20"/>
      <w:szCs w:val="20"/>
      <w:lang w:val="en-GB" w:eastAsia="zh-CN"/>
    </w:rPr>
  </w:style>
  <w:style w:type="paragraph" w:customStyle="1" w:styleId="Proposal">
    <w:name w:val="Proposal"/>
    <w:basedOn w:val="Normal"/>
    <w:rsid w:val="004368CF"/>
    <w:pPr>
      <w:numPr>
        <w:numId w:val="3"/>
      </w:numPr>
      <w:tabs>
        <w:tab w:val="left" w:pos="1701"/>
      </w:tabs>
      <w:overflowPunct w:val="0"/>
      <w:autoSpaceDE w:val="0"/>
      <w:autoSpaceDN w:val="0"/>
      <w:adjustRightInd w:val="0"/>
      <w:spacing w:after="120"/>
      <w:jc w:val="both"/>
      <w:textAlignment w:val="baseline"/>
    </w:pPr>
    <w:rPr>
      <w:rFonts w:ascii="Arial" w:hAnsi="Arial"/>
      <w:b/>
      <w:bCs/>
      <w:szCs w:val="20"/>
      <w:lang w:val="en-GB" w:eastAsia="zh-CN"/>
    </w:rPr>
  </w:style>
  <w:style w:type="character" w:styleId="CommentReference">
    <w:name w:val="annotation reference"/>
    <w:basedOn w:val="DefaultParagraphFont"/>
    <w:uiPriority w:val="99"/>
    <w:semiHidden/>
    <w:unhideWhenUsed/>
    <w:rsid w:val="004368CF"/>
    <w:rPr>
      <w:sz w:val="16"/>
      <w:szCs w:val="16"/>
    </w:rPr>
  </w:style>
  <w:style w:type="paragraph" w:styleId="CommentText">
    <w:name w:val="annotation text"/>
    <w:basedOn w:val="Normal"/>
    <w:link w:val="CommentTextChar"/>
    <w:uiPriority w:val="99"/>
    <w:semiHidden/>
    <w:unhideWhenUsed/>
    <w:rsid w:val="004368CF"/>
    <w:rPr>
      <w:szCs w:val="20"/>
    </w:rPr>
  </w:style>
  <w:style w:type="character" w:customStyle="1" w:styleId="CommentTextChar">
    <w:name w:val="Comment Text Char"/>
    <w:basedOn w:val="DefaultParagraphFont"/>
    <w:link w:val="CommentText"/>
    <w:uiPriority w:val="99"/>
    <w:semiHidden/>
    <w:rsid w:val="004368CF"/>
    <w:rPr>
      <w:rFonts w:ascii="Times New Roman" w:eastAsia="Times New Roman" w:hAnsi="Times New Roman" w:cs="Times New Roman"/>
      <w:sz w:val="20"/>
      <w:szCs w:val="20"/>
      <w:lang w:val="en-US"/>
    </w:rPr>
  </w:style>
  <w:style w:type="table" w:styleId="TableGrid">
    <w:name w:val="Table Grid"/>
    <w:basedOn w:val="TableNormal"/>
    <w:uiPriority w:val="59"/>
    <w:rsid w:val="004368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368C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368CF"/>
    <w:rPr>
      <w:rFonts w:ascii="Segoe UI" w:eastAsia="Times New Roman" w:hAnsi="Segoe UI" w:cs="Segoe UI"/>
      <w:sz w:val="18"/>
      <w:szCs w:val="18"/>
      <w:lang w:val="en-US"/>
    </w:rPr>
  </w:style>
  <w:style w:type="paragraph" w:styleId="ListParagraph">
    <w:name w:val="List Paragraph"/>
    <w:basedOn w:val="Normal"/>
    <w:uiPriority w:val="34"/>
    <w:qFormat/>
    <w:rsid w:val="00654B17"/>
    <w:pPr>
      <w:ind w:left="720"/>
    </w:pPr>
    <w:rPr>
      <w:rFonts w:ascii="Calibri" w:eastAsiaTheme="minorHAnsi" w:hAnsi="Calibri"/>
      <w:sz w:val="22"/>
      <w:szCs w:val="22"/>
      <w:lang w:val="sv-SE" w:eastAsia="sv-SE"/>
    </w:rPr>
  </w:style>
  <w:style w:type="paragraph" w:styleId="CommentSubject">
    <w:name w:val="annotation subject"/>
    <w:basedOn w:val="CommentText"/>
    <w:next w:val="CommentText"/>
    <w:link w:val="CommentSubjectChar"/>
    <w:uiPriority w:val="99"/>
    <w:semiHidden/>
    <w:unhideWhenUsed/>
    <w:rsid w:val="002516CF"/>
    <w:rPr>
      <w:b/>
      <w:bCs/>
    </w:rPr>
  </w:style>
  <w:style w:type="character" w:customStyle="1" w:styleId="CommentSubjectChar">
    <w:name w:val="Comment Subject Char"/>
    <w:basedOn w:val="CommentTextChar"/>
    <w:link w:val="CommentSubject"/>
    <w:uiPriority w:val="99"/>
    <w:semiHidden/>
    <w:rsid w:val="002516CF"/>
    <w:rPr>
      <w:rFonts w:ascii="Times New Roman" w:eastAsia="Times New Roman" w:hAnsi="Times New Roman" w:cs="Times New Roman"/>
      <w:b/>
      <w:bCs/>
      <w:sz w:val="20"/>
      <w:szCs w:val="20"/>
      <w:lang w:val="en-US"/>
    </w:rPr>
  </w:style>
  <w:style w:type="paragraph" w:styleId="Footer">
    <w:name w:val="footer"/>
    <w:basedOn w:val="Normal"/>
    <w:link w:val="FooterChar"/>
    <w:uiPriority w:val="99"/>
    <w:unhideWhenUsed/>
    <w:rsid w:val="003B7A5C"/>
    <w:pPr>
      <w:tabs>
        <w:tab w:val="center" w:pos="4536"/>
        <w:tab w:val="right" w:pos="9072"/>
      </w:tabs>
    </w:pPr>
  </w:style>
  <w:style w:type="character" w:customStyle="1" w:styleId="FooterChar">
    <w:name w:val="Footer Char"/>
    <w:basedOn w:val="DefaultParagraphFont"/>
    <w:link w:val="Footer"/>
    <w:uiPriority w:val="99"/>
    <w:rsid w:val="003B7A5C"/>
    <w:rPr>
      <w:rFonts w:ascii="Times New Roman" w:eastAsia="Times New Roman" w:hAnsi="Times New Roman" w:cs="Times New Roman"/>
      <w:sz w:val="20"/>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7748568">
      <w:bodyDiv w:val="1"/>
      <w:marLeft w:val="0"/>
      <w:marRight w:val="0"/>
      <w:marTop w:val="0"/>
      <w:marBottom w:val="0"/>
      <w:divBdr>
        <w:top w:val="none" w:sz="0" w:space="0" w:color="auto"/>
        <w:left w:val="none" w:sz="0" w:space="0" w:color="auto"/>
        <w:bottom w:val="none" w:sz="0" w:space="0" w:color="auto"/>
        <w:right w:val="none" w:sz="0" w:space="0" w:color="auto"/>
      </w:divBdr>
    </w:div>
    <w:div w:id="818309582">
      <w:bodyDiv w:val="1"/>
      <w:marLeft w:val="0"/>
      <w:marRight w:val="0"/>
      <w:marTop w:val="0"/>
      <w:marBottom w:val="0"/>
      <w:divBdr>
        <w:top w:val="none" w:sz="0" w:space="0" w:color="auto"/>
        <w:left w:val="none" w:sz="0" w:space="0" w:color="auto"/>
        <w:bottom w:val="none" w:sz="0" w:space="0" w:color="auto"/>
        <w:right w:val="none" w:sz="0" w:space="0" w:color="auto"/>
      </w:divBdr>
    </w:div>
    <w:div w:id="960378086">
      <w:bodyDiv w:val="1"/>
      <w:marLeft w:val="0"/>
      <w:marRight w:val="0"/>
      <w:marTop w:val="0"/>
      <w:marBottom w:val="0"/>
      <w:divBdr>
        <w:top w:val="none" w:sz="0" w:space="0" w:color="auto"/>
        <w:left w:val="none" w:sz="0" w:space="0" w:color="auto"/>
        <w:bottom w:val="none" w:sz="0" w:space="0" w:color="auto"/>
        <w:right w:val="none" w:sz="0" w:space="0" w:color="auto"/>
      </w:divBdr>
    </w:div>
    <w:div w:id="1088961332">
      <w:bodyDiv w:val="1"/>
      <w:marLeft w:val="0"/>
      <w:marRight w:val="0"/>
      <w:marTop w:val="0"/>
      <w:marBottom w:val="0"/>
      <w:divBdr>
        <w:top w:val="none" w:sz="0" w:space="0" w:color="auto"/>
        <w:left w:val="none" w:sz="0" w:space="0" w:color="auto"/>
        <w:bottom w:val="none" w:sz="0" w:space="0" w:color="auto"/>
        <w:right w:val="none" w:sz="0" w:space="0" w:color="auto"/>
      </w:divBdr>
    </w:div>
    <w:div w:id="1475101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ntTable" Target="fontTable.xml"/><Relationship Id="rId3" Type="http://schemas.microsoft.com/office/2007/relationships/stylesWithEffects" Target="stylesWithEffect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image" Target="media/image9.emf"/><Relationship Id="rId20" Type="http://schemas.microsoft.com/office/2011/relationships/commentsExtended" Target="commentsExtended.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206</TotalTime>
  <Pages>10</Pages>
  <Words>1429</Words>
  <Characters>8151</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Mattias Andersson W</dc:creator>
  <cp:keywords/>
  <dc:description/>
  <cp:lastModifiedBy>Yufei Blankenship</cp:lastModifiedBy>
  <cp:revision>8</cp:revision>
  <dcterms:created xsi:type="dcterms:W3CDTF">2016-08-12T20:06:00Z</dcterms:created>
  <dcterms:modified xsi:type="dcterms:W3CDTF">2016-08-13T06:14:00Z</dcterms:modified>
</cp:coreProperties>
</file>